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2B" w:rsidRPr="00315713" w:rsidRDefault="0012032B" w:rsidP="0012032B">
      <w:r>
        <w:rPr>
          <w:noProof/>
        </w:rPr>
        <w:drawing>
          <wp:inline distT="0" distB="0" distL="0" distR="0" wp14:anchorId="3FE28F4C" wp14:editId="71A0255B">
            <wp:extent cx="1284605" cy="741045"/>
            <wp:effectExtent l="0" t="0" r="0" b="190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605" cy="741045"/>
                    </a:xfrm>
                    <a:prstGeom prst="rect">
                      <a:avLst/>
                    </a:prstGeom>
                  </pic:spPr>
                </pic:pic>
              </a:graphicData>
            </a:graphic>
          </wp:inline>
        </w:drawing>
      </w:r>
      <w:r w:rsidRPr="00315713">
        <w:rPr>
          <w:noProof/>
          <w:sz w:val="4"/>
        </w:rPr>
        <w:drawing>
          <wp:anchor distT="0" distB="0" distL="114300" distR="114300" simplePos="0" relativeHeight="251659264" behindDoc="0" locked="0" layoutInCell="1" allowOverlap="1" wp14:anchorId="27C61097" wp14:editId="7477467F">
            <wp:simplePos x="0" y="0"/>
            <wp:positionH relativeFrom="column">
              <wp:posOffset>-1606550</wp:posOffset>
            </wp:positionH>
            <wp:positionV relativeFrom="paragraph">
              <wp:posOffset>-679450</wp:posOffset>
            </wp:positionV>
            <wp:extent cx="7994650" cy="161925"/>
            <wp:effectExtent l="19050" t="0" r="635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srcRect/>
                    <a:stretch>
                      <a:fillRect/>
                    </a:stretch>
                  </pic:blipFill>
                  <pic:spPr bwMode="auto">
                    <a:xfrm>
                      <a:off x="0" y="0"/>
                      <a:ext cx="7994650" cy="161925"/>
                    </a:xfrm>
                    <a:prstGeom prst="rect">
                      <a:avLst/>
                    </a:prstGeom>
                    <a:noFill/>
                    <a:ln w="9525">
                      <a:noFill/>
                      <a:miter lim="800000"/>
                      <a:headEnd/>
                      <a:tailEnd/>
                    </a:ln>
                    <a:effectLst/>
                  </pic:spPr>
                </pic:pic>
              </a:graphicData>
            </a:graphic>
          </wp:anchor>
        </w:drawing>
      </w:r>
    </w:p>
    <w:p w:rsidR="00921383" w:rsidRDefault="00921383" w:rsidP="00921383">
      <w:pPr>
        <w:tabs>
          <w:tab w:val="left" w:pos="3465"/>
        </w:tabs>
        <w:jc w:val="center"/>
        <w:rPr>
          <w:rFonts w:ascii="Arial" w:hAnsi="Arial" w:cs="Arial"/>
          <w:b/>
          <w:color w:val="1F497D" w:themeColor="text2"/>
          <w:sz w:val="40"/>
        </w:rPr>
      </w:pPr>
    </w:p>
    <w:p w:rsidR="00921383" w:rsidRDefault="00921383" w:rsidP="00921383">
      <w:pPr>
        <w:tabs>
          <w:tab w:val="left" w:pos="3465"/>
        </w:tabs>
        <w:jc w:val="center"/>
        <w:rPr>
          <w:rFonts w:ascii="Arial" w:hAnsi="Arial" w:cs="Arial"/>
          <w:b/>
          <w:color w:val="1F497D" w:themeColor="text2"/>
          <w:sz w:val="40"/>
        </w:rPr>
      </w:pPr>
    </w:p>
    <w:p w:rsidR="00921383" w:rsidRDefault="00921383" w:rsidP="00921383">
      <w:pPr>
        <w:tabs>
          <w:tab w:val="left" w:pos="3465"/>
        </w:tabs>
        <w:jc w:val="center"/>
        <w:rPr>
          <w:rFonts w:ascii="Arial" w:hAnsi="Arial" w:cs="Arial"/>
          <w:b/>
          <w:color w:val="1F497D" w:themeColor="text2"/>
          <w:sz w:val="40"/>
        </w:rPr>
      </w:pPr>
    </w:p>
    <w:p w:rsidR="00921383" w:rsidRDefault="00921383" w:rsidP="00921383">
      <w:pPr>
        <w:tabs>
          <w:tab w:val="left" w:pos="3465"/>
        </w:tabs>
        <w:jc w:val="center"/>
        <w:rPr>
          <w:rFonts w:ascii="Arial" w:hAnsi="Arial" w:cs="Arial"/>
          <w:b/>
          <w:color w:val="1F497D" w:themeColor="text2"/>
          <w:sz w:val="40"/>
        </w:rPr>
      </w:pPr>
    </w:p>
    <w:p w:rsidR="00921383" w:rsidRDefault="00921383" w:rsidP="00921383">
      <w:pPr>
        <w:tabs>
          <w:tab w:val="left" w:pos="3465"/>
        </w:tabs>
        <w:jc w:val="center"/>
        <w:rPr>
          <w:rFonts w:ascii="Arial" w:hAnsi="Arial" w:cs="Arial"/>
          <w:b/>
          <w:color w:val="1F497D" w:themeColor="text2"/>
          <w:sz w:val="40"/>
        </w:rPr>
      </w:pPr>
    </w:p>
    <w:p w:rsidR="00921383" w:rsidRDefault="00921383" w:rsidP="00921383">
      <w:pPr>
        <w:tabs>
          <w:tab w:val="left" w:pos="3465"/>
        </w:tabs>
        <w:jc w:val="center"/>
        <w:rPr>
          <w:rFonts w:ascii="Arial" w:hAnsi="Arial" w:cs="Arial"/>
          <w:b/>
          <w:color w:val="1F497D" w:themeColor="text2"/>
          <w:sz w:val="40"/>
        </w:rPr>
      </w:pPr>
    </w:p>
    <w:p w:rsidR="00921383" w:rsidRPr="00CD39E7" w:rsidRDefault="00921383" w:rsidP="00921383">
      <w:pPr>
        <w:tabs>
          <w:tab w:val="left" w:pos="3465"/>
        </w:tabs>
        <w:jc w:val="center"/>
        <w:rPr>
          <w:rFonts w:ascii="Arial" w:hAnsi="Arial" w:cs="Arial"/>
          <w:b/>
          <w:color w:val="1F497D" w:themeColor="text2"/>
          <w:sz w:val="40"/>
        </w:rPr>
      </w:pPr>
      <w:r w:rsidRPr="00CD39E7">
        <w:rPr>
          <w:rFonts w:ascii="Arial" w:hAnsi="Arial" w:cs="Arial"/>
          <w:b/>
          <w:color w:val="1F497D" w:themeColor="text2"/>
          <w:sz w:val="40"/>
        </w:rPr>
        <w:t>Appel à projet</w:t>
      </w:r>
      <w:r>
        <w:rPr>
          <w:rFonts w:ascii="Arial" w:hAnsi="Arial" w:cs="Arial"/>
          <w:b/>
          <w:color w:val="1F497D" w:themeColor="text2"/>
          <w:sz w:val="40"/>
        </w:rPr>
        <w:t>s</w:t>
      </w:r>
      <w:r w:rsidRPr="00CD39E7">
        <w:rPr>
          <w:rFonts w:ascii="Arial" w:hAnsi="Arial" w:cs="Arial"/>
          <w:b/>
          <w:color w:val="1F497D" w:themeColor="text2"/>
          <w:sz w:val="40"/>
        </w:rPr>
        <w:t xml:space="preserve"> en vue de la sécurisation des établissements de santé en </w:t>
      </w:r>
      <w:r>
        <w:rPr>
          <w:rFonts w:ascii="Arial" w:hAnsi="Arial" w:cs="Arial"/>
          <w:b/>
          <w:color w:val="1F497D" w:themeColor="text2"/>
          <w:sz w:val="40"/>
        </w:rPr>
        <w:t>Occitanie</w:t>
      </w:r>
    </w:p>
    <w:p w:rsidR="00921383" w:rsidRDefault="00921383" w:rsidP="00921383">
      <w:pPr>
        <w:tabs>
          <w:tab w:val="left" w:pos="3465"/>
        </w:tabs>
        <w:jc w:val="center"/>
        <w:rPr>
          <w:rFonts w:ascii="Arial" w:hAnsi="Arial" w:cs="Arial"/>
          <w:color w:val="1F497D" w:themeColor="text2"/>
          <w:sz w:val="40"/>
        </w:rPr>
      </w:pPr>
    </w:p>
    <w:p w:rsidR="00921383" w:rsidRPr="00B60681" w:rsidRDefault="00921383" w:rsidP="00921383">
      <w:pPr>
        <w:tabs>
          <w:tab w:val="left" w:pos="3465"/>
        </w:tabs>
        <w:jc w:val="center"/>
        <w:rPr>
          <w:rFonts w:ascii="Arial" w:hAnsi="Arial" w:cs="Arial"/>
          <w:color w:val="1F497D" w:themeColor="text2"/>
          <w:sz w:val="32"/>
          <w:szCs w:val="32"/>
        </w:rPr>
      </w:pPr>
      <w:r w:rsidRPr="00B60681">
        <w:rPr>
          <w:rFonts w:ascii="Arial" w:hAnsi="Arial" w:cs="Arial"/>
          <w:color w:val="1F497D" w:themeColor="text2"/>
          <w:sz w:val="32"/>
          <w:szCs w:val="32"/>
        </w:rPr>
        <w:t>Complété par le dossier type à renseigner en totalité</w:t>
      </w:r>
    </w:p>
    <w:p w:rsidR="00921383" w:rsidRDefault="00921383" w:rsidP="00921383">
      <w:pPr>
        <w:tabs>
          <w:tab w:val="left" w:pos="3465"/>
        </w:tabs>
        <w:jc w:val="center"/>
        <w:rPr>
          <w:rFonts w:ascii="Arial" w:hAnsi="Arial" w:cs="Arial"/>
        </w:rPr>
      </w:pPr>
    </w:p>
    <w:p w:rsidR="00D86539" w:rsidRDefault="00D86539" w:rsidP="00921383">
      <w:pPr>
        <w:tabs>
          <w:tab w:val="left" w:pos="3465"/>
        </w:tabs>
        <w:jc w:val="center"/>
        <w:rPr>
          <w:rFonts w:ascii="Arial" w:hAnsi="Arial" w:cs="Arial"/>
        </w:rPr>
      </w:pPr>
    </w:p>
    <w:p w:rsidR="00D86539" w:rsidRPr="00CD39E7" w:rsidRDefault="00D86539" w:rsidP="00921383">
      <w:pPr>
        <w:tabs>
          <w:tab w:val="left" w:pos="3465"/>
        </w:tabs>
        <w:jc w:val="center"/>
        <w:rPr>
          <w:rFonts w:ascii="Arial" w:hAnsi="Arial" w:cs="Arial"/>
        </w:rPr>
      </w:pPr>
    </w:p>
    <w:p w:rsidR="00921383" w:rsidRPr="00CD39E7" w:rsidRDefault="00921383" w:rsidP="00921383">
      <w:pPr>
        <w:tabs>
          <w:tab w:val="left" w:pos="3465"/>
        </w:tabs>
        <w:jc w:val="center"/>
        <w:rPr>
          <w:rFonts w:ascii="Arial" w:hAnsi="Arial" w:cs="Arial"/>
          <w:color w:val="1F497D" w:themeColor="text2"/>
        </w:rPr>
      </w:pPr>
    </w:p>
    <w:p w:rsidR="00921383" w:rsidRPr="00CD39E7" w:rsidRDefault="00921383" w:rsidP="00921383">
      <w:pPr>
        <w:rPr>
          <w:rFonts w:ascii="Arial" w:hAnsi="Arial" w:cs="Arial"/>
          <w:sz w:val="22"/>
          <w:szCs w:val="22"/>
        </w:rPr>
      </w:pPr>
    </w:p>
    <w:p w:rsidR="00921383" w:rsidRDefault="00921383" w:rsidP="00921383">
      <w:pPr>
        <w:rPr>
          <w:rFonts w:ascii="Arial" w:hAnsi="Arial" w:cs="Arial"/>
          <w:sz w:val="22"/>
          <w:szCs w:val="22"/>
        </w:rPr>
      </w:pPr>
    </w:p>
    <w:p w:rsidR="00921383" w:rsidRDefault="00921383" w:rsidP="00921383">
      <w:pPr>
        <w:rPr>
          <w:rFonts w:ascii="Arial" w:hAnsi="Arial" w:cs="Arial"/>
          <w:sz w:val="22"/>
          <w:szCs w:val="22"/>
        </w:rPr>
      </w:pPr>
    </w:p>
    <w:p w:rsidR="00921383" w:rsidRDefault="00921383" w:rsidP="00921383">
      <w:pPr>
        <w:rPr>
          <w:rFonts w:ascii="Arial" w:hAnsi="Arial" w:cs="Arial"/>
          <w:sz w:val="22"/>
          <w:szCs w:val="22"/>
        </w:rPr>
      </w:pPr>
    </w:p>
    <w:p w:rsidR="00921383" w:rsidRDefault="00921383" w:rsidP="00921383">
      <w:pPr>
        <w:rPr>
          <w:rFonts w:ascii="Arial" w:hAnsi="Arial" w:cs="Arial"/>
          <w:sz w:val="22"/>
          <w:szCs w:val="22"/>
        </w:rPr>
      </w:pPr>
    </w:p>
    <w:p w:rsidR="00921383" w:rsidRDefault="00921383" w:rsidP="00921383">
      <w:pPr>
        <w:rPr>
          <w:rFonts w:ascii="Arial" w:hAnsi="Arial" w:cs="Arial"/>
          <w:sz w:val="22"/>
          <w:szCs w:val="22"/>
        </w:rPr>
      </w:pPr>
    </w:p>
    <w:p w:rsidR="00921383" w:rsidRDefault="00921383" w:rsidP="002C1FAB">
      <w:pPr>
        <w:spacing w:after="200" w:line="276" w:lineRule="auto"/>
        <w:rPr>
          <w:rFonts w:ascii="Arial" w:hAnsi="Arial" w:cs="Arial"/>
          <w:sz w:val="22"/>
          <w:szCs w:val="22"/>
        </w:rPr>
      </w:pPr>
      <w:r>
        <w:rPr>
          <w:rFonts w:ascii="Arial" w:hAnsi="Arial" w:cs="Arial"/>
          <w:sz w:val="22"/>
          <w:szCs w:val="22"/>
        </w:rPr>
        <w:br w:type="page"/>
      </w:r>
    </w:p>
    <w:p w:rsidR="00921383" w:rsidRDefault="00921383" w:rsidP="00921383">
      <w:pPr>
        <w:pStyle w:val="Titre1"/>
        <w:numPr>
          <w:ilvl w:val="0"/>
          <w:numId w:val="1"/>
        </w:numPr>
        <w:jc w:val="both"/>
      </w:pPr>
      <w:r>
        <w:lastRenderedPageBreak/>
        <w:t>Rappel des textes de référence</w:t>
      </w:r>
    </w:p>
    <w:p w:rsidR="00921383" w:rsidRPr="00A11538" w:rsidRDefault="00921383" w:rsidP="00921383">
      <w:pPr>
        <w:jc w:val="both"/>
        <w:rPr>
          <w:rFonts w:ascii="Arial" w:hAnsi="Arial" w:cs="Arial"/>
          <w:sz w:val="22"/>
          <w:szCs w:val="22"/>
        </w:rPr>
      </w:pPr>
    </w:p>
    <w:p w:rsidR="00921383" w:rsidRPr="00925C9D" w:rsidRDefault="00921383" w:rsidP="00925C9D">
      <w:pPr>
        <w:pStyle w:val="Paragraphedeliste"/>
        <w:numPr>
          <w:ilvl w:val="0"/>
          <w:numId w:val="10"/>
        </w:numPr>
        <w:jc w:val="both"/>
        <w:rPr>
          <w:rFonts w:ascii="Arial" w:hAnsi="Arial" w:cs="Arial"/>
          <w:sz w:val="22"/>
          <w:szCs w:val="22"/>
        </w:rPr>
      </w:pPr>
      <w:r w:rsidRPr="00925C9D">
        <w:rPr>
          <w:rFonts w:ascii="Arial" w:hAnsi="Arial" w:cs="Arial"/>
          <w:sz w:val="22"/>
          <w:szCs w:val="22"/>
          <w:u w:val="single"/>
        </w:rPr>
        <w:t>Rappel du § 6 de l’instruction du 4 novembre 2016 relative aux mesures de sécurisation dans les établissements de santé</w:t>
      </w:r>
      <w:r w:rsidR="00925C9D" w:rsidRPr="00925C9D">
        <w:rPr>
          <w:rFonts w:ascii="Arial" w:hAnsi="Arial" w:cs="Arial"/>
          <w:sz w:val="22"/>
          <w:szCs w:val="22"/>
        </w:rPr>
        <w:t> :</w:t>
      </w:r>
    </w:p>
    <w:p w:rsidR="00921383" w:rsidRDefault="00921383" w:rsidP="00921383">
      <w:pPr>
        <w:jc w:val="both"/>
        <w:rPr>
          <w:rFonts w:ascii="Arial" w:hAnsi="Arial" w:cs="Arial"/>
          <w:sz w:val="22"/>
          <w:szCs w:val="22"/>
        </w:rPr>
      </w:pPr>
    </w:p>
    <w:p w:rsidR="00921383" w:rsidRDefault="00921383" w:rsidP="00735ECD">
      <w:pPr>
        <w:jc w:val="both"/>
        <w:rPr>
          <w:rFonts w:ascii="Arial" w:hAnsi="Arial" w:cs="Arial"/>
          <w:i/>
          <w:sz w:val="22"/>
          <w:szCs w:val="22"/>
        </w:rPr>
      </w:pPr>
      <w:r>
        <w:rPr>
          <w:rFonts w:ascii="Arial" w:hAnsi="Arial" w:cs="Arial"/>
          <w:sz w:val="22"/>
          <w:szCs w:val="22"/>
        </w:rPr>
        <w:t>« </w:t>
      </w:r>
      <w:r w:rsidRPr="002A675B">
        <w:rPr>
          <w:rFonts w:ascii="Arial" w:hAnsi="Arial" w:cs="Arial"/>
          <w:i/>
          <w:sz w:val="22"/>
          <w:szCs w:val="22"/>
        </w:rPr>
        <w:t>Afin de faciliter la mise en œuvre des mesures de sécurité, un abondement spécifique de 25 millions d’euros par an durant 3 ans est prévu sur la base d’appel à projet dans le cadre du fonds de modernisation des établissements de santé publics et privés (FMESPP) dès 2017.</w:t>
      </w:r>
    </w:p>
    <w:p w:rsidR="00561CB4" w:rsidRPr="002A675B" w:rsidRDefault="00561CB4" w:rsidP="00735ECD">
      <w:pPr>
        <w:jc w:val="both"/>
        <w:rPr>
          <w:rFonts w:ascii="Arial" w:hAnsi="Arial" w:cs="Arial"/>
          <w:i/>
          <w:sz w:val="22"/>
          <w:szCs w:val="22"/>
        </w:rPr>
      </w:pPr>
    </w:p>
    <w:p w:rsidR="00921383" w:rsidRPr="00561CB4" w:rsidRDefault="00921383" w:rsidP="00735ECD">
      <w:pPr>
        <w:jc w:val="both"/>
        <w:rPr>
          <w:rFonts w:ascii="Arial" w:hAnsi="Arial" w:cs="Arial"/>
          <w:i/>
          <w:sz w:val="22"/>
          <w:szCs w:val="22"/>
        </w:rPr>
      </w:pPr>
      <w:r w:rsidRPr="002A675B">
        <w:rPr>
          <w:rFonts w:ascii="Arial" w:hAnsi="Arial" w:cs="Arial"/>
          <w:i/>
          <w:sz w:val="22"/>
          <w:szCs w:val="22"/>
        </w:rPr>
        <w:t>Les ARS orienteront ce financement vers la sécurisation des sites à protéger en priorité (cf. cartographie des moyens). Par ailleurs, les établissements pourront recourir aux contrats locaux d’amélioration des conditions de travail (CLACT) en matière de santé et sécurité au travail, ainsi qu’au fonds interministériel de prévention de la délinquance (FIPD) pour la</w:t>
      </w:r>
      <w:r w:rsidR="00561CB4">
        <w:rPr>
          <w:rFonts w:ascii="Arial" w:hAnsi="Arial" w:cs="Arial"/>
          <w:i/>
          <w:sz w:val="22"/>
          <w:szCs w:val="22"/>
        </w:rPr>
        <w:t xml:space="preserve"> </w:t>
      </w:r>
      <w:r w:rsidRPr="002A675B">
        <w:rPr>
          <w:rFonts w:ascii="Arial" w:hAnsi="Arial" w:cs="Arial"/>
          <w:i/>
          <w:sz w:val="22"/>
          <w:szCs w:val="22"/>
        </w:rPr>
        <w:t>vidéosurveillance.</w:t>
      </w:r>
      <w:r>
        <w:rPr>
          <w:rFonts w:ascii="Arial" w:hAnsi="Arial" w:cs="Arial"/>
          <w:sz w:val="22"/>
          <w:szCs w:val="22"/>
        </w:rPr>
        <w:t> »</w:t>
      </w:r>
    </w:p>
    <w:p w:rsidR="00CD543C" w:rsidRPr="004F2355" w:rsidRDefault="00CD543C" w:rsidP="00CD543C">
      <w:pPr>
        <w:jc w:val="both"/>
        <w:rPr>
          <w:rFonts w:ascii="Arial" w:hAnsi="Arial" w:cs="Arial"/>
          <w:sz w:val="22"/>
          <w:u w:val="single"/>
        </w:rPr>
      </w:pPr>
    </w:p>
    <w:p w:rsidR="002C1FAB" w:rsidRPr="00B60681" w:rsidRDefault="00D1480B" w:rsidP="002C1FAB">
      <w:pPr>
        <w:pStyle w:val="Paragraphedeliste"/>
        <w:numPr>
          <w:ilvl w:val="0"/>
          <w:numId w:val="10"/>
        </w:num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u w:val="single"/>
          <w:lang w:eastAsia="en-US"/>
        </w:rPr>
        <w:t>Circulaire</w:t>
      </w:r>
      <w:r w:rsidRPr="00B60681">
        <w:rPr>
          <w:rFonts w:ascii="Arial" w:eastAsiaTheme="minorHAnsi" w:hAnsi="Arial" w:cs="Arial"/>
          <w:sz w:val="22"/>
          <w:szCs w:val="22"/>
          <w:u w:val="single"/>
          <w:lang w:eastAsia="en-US"/>
        </w:rPr>
        <w:t xml:space="preserve"> n° DGOS/R1/2019/110 du 7 mai 2019</w:t>
      </w:r>
      <w:r w:rsidR="004F2355" w:rsidRPr="00B60681">
        <w:rPr>
          <w:rFonts w:ascii="Arial" w:eastAsiaTheme="minorHAnsi" w:hAnsi="Arial" w:cs="Arial"/>
          <w:sz w:val="22"/>
          <w:szCs w:val="22"/>
          <w:lang w:eastAsia="en-US"/>
        </w:rPr>
        <w:t xml:space="preserve"> relative à </w:t>
      </w:r>
      <w:r w:rsidR="00B60681" w:rsidRPr="00B60681">
        <w:rPr>
          <w:rFonts w:ascii="Arial" w:eastAsiaTheme="minorHAnsi" w:hAnsi="Arial" w:cs="Arial"/>
          <w:sz w:val="22"/>
          <w:szCs w:val="22"/>
          <w:lang w:eastAsia="en-US"/>
        </w:rPr>
        <w:t xml:space="preserve">la </w:t>
      </w:r>
      <w:r w:rsidR="004F2355" w:rsidRPr="00B60681">
        <w:rPr>
          <w:rFonts w:ascii="Arial" w:eastAsiaTheme="minorHAnsi" w:hAnsi="Arial" w:cs="Arial"/>
          <w:sz w:val="22"/>
          <w:szCs w:val="22"/>
          <w:lang w:eastAsia="en-US"/>
        </w:rPr>
        <w:t>délégation des crédits du fonds de modernisation des établissements de santé publics et</w:t>
      </w:r>
      <w:r w:rsidRPr="00B60681">
        <w:rPr>
          <w:rFonts w:ascii="Arial" w:eastAsiaTheme="minorHAnsi" w:hAnsi="Arial" w:cs="Arial"/>
          <w:sz w:val="22"/>
          <w:szCs w:val="22"/>
          <w:lang w:eastAsia="en-US"/>
        </w:rPr>
        <w:t xml:space="preserve"> privés au titre de l'année 2019</w:t>
      </w:r>
      <w:r w:rsidR="004F2355" w:rsidRPr="00B60681">
        <w:rPr>
          <w:rFonts w:ascii="Arial" w:eastAsiaTheme="minorHAnsi" w:hAnsi="Arial" w:cs="Arial"/>
          <w:sz w:val="22"/>
          <w:szCs w:val="22"/>
          <w:lang w:eastAsia="en-US"/>
        </w:rPr>
        <w:t>.</w:t>
      </w:r>
    </w:p>
    <w:p w:rsidR="00CD543C" w:rsidRDefault="00CD543C" w:rsidP="00CD543C">
      <w:pPr>
        <w:pStyle w:val="Titre1"/>
        <w:numPr>
          <w:ilvl w:val="0"/>
          <w:numId w:val="1"/>
        </w:numPr>
      </w:pPr>
      <w:r>
        <w:t>O</w:t>
      </w:r>
      <w:r w:rsidRPr="00FC138B">
        <w:t>bjet du présent appel à projets</w:t>
      </w:r>
    </w:p>
    <w:p w:rsidR="00CD543C" w:rsidRPr="00FC138B" w:rsidRDefault="00CD543C" w:rsidP="00CD543C"/>
    <w:p w:rsidR="004B231B" w:rsidRDefault="00CD543C" w:rsidP="00C15225">
      <w:pPr>
        <w:jc w:val="both"/>
        <w:rPr>
          <w:rFonts w:ascii="Arial" w:hAnsi="Arial" w:cs="Arial"/>
          <w:color w:val="002060"/>
          <w:sz w:val="22"/>
        </w:rPr>
      </w:pPr>
      <w:r>
        <w:rPr>
          <w:rFonts w:ascii="Arial" w:hAnsi="Arial" w:cs="Arial"/>
          <w:sz w:val="22"/>
        </w:rPr>
        <w:t>Dans le cadre de la mise en œuvre des moyens de sécurisation des établissements de santé, cet appel à projets vise à l’appui fin</w:t>
      </w:r>
      <w:r w:rsidR="00561CB4">
        <w:rPr>
          <w:rFonts w:ascii="Arial" w:hAnsi="Arial" w:cs="Arial"/>
          <w:sz w:val="22"/>
        </w:rPr>
        <w:t>ancier des établissements de santé classés en niveaux</w:t>
      </w:r>
      <w:r w:rsidR="00D1480B">
        <w:rPr>
          <w:rFonts w:ascii="Arial" w:hAnsi="Arial" w:cs="Arial"/>
          <w:sz w:val="22"/>
        </w:rPr>
        <w:t xml:space="preserve"> de </w:t>
      </w:r>
      <w:r w:rsidR="00D1480B" w:rsidRPr="00B60681">
        <w:rPr>
          <w:rFonts w:ascii="Arial" w:hAnsi="Arial" w:cs="Arial"/>
          <w:sz w:val="22"/>
        </w:rPr>
        <w:t>sensibilité</w:t>
      </w:r>
      <w:r w:rsidR="00C15225" w:rsidRPr="00B60681">
        <w:rPr>
          <w:rFonts w:ascii="Arial" w:hAnsi="Arial" w:cs="Arial"/>
          <w:sz w:val="22"/>
        </w:rPr>
        <w:t> </w:t>
      </w:r>
      <w:r w:rsidR="002037A3" w:rsidRPr="00B60681">
        <w:rPr>
          <w:rFonts w:ascii="Arial" w:hAnsi="Arial" w:cs="Arial"/>
          <w:sz w:val="22"/>
        </w:rPr>
        <w:t>de niveau 1</w:t>
      </w:r>
      <w:r w:rsidR="00C15225" w:rsidRPr="00B60681">
        <w:rPr>
          <w:rFonts w:ascii="Arial" w:hAnsi="Arial" w:cs="Arial"/>
          <w:sz w:val="22"/>
        </w:rPr>
        <w:t>,</w:t>
      </w:r>
      <w:r w:rsidR="004B231B" w:rsidRPr="00B60681">
        <w:rPr>
          <w:rFonts w:ascii="Arial" w:hAnsi="Arial" w:cs="Arial"/>
          <w:sz w:val="22"/>
        </w:rPr>
        <w:t xml:space="preserve"> et quelques établissements de niveau 3</w:t>
      </w:r>
      <w:r w:rsidR="00C15225" w:rsidRPr="00B60681">
        <w:rPr>
          <w:rFonts w:ascii="Arial" w:hAnsi="Arial" w:cs="Arial"/>
          <w:sz w:val="22"/>
        </w:rPr>
        <w:t xml:space="preserve"> </w:t>
      </w:r>
      <w:r w:rsidR="00EB134E" w:rsidRPr="00B60681">
        <w:rPr>
          <w:rFonts w:ascii="Arial" w:hAnsi="Arial" w:cs="Arial"/>
          <w:sz w:val="22"/>
        </w:rPr>
        <w:t>non prioritaires au regard de la classification des établissements mais dont leur situation géographique ou leur dom</w:t>
      </w:r>
      <w:r w:rsidR="00B60681" w:rsidRPr="00B60681">
        <w:rPr>
          <w:rFonts w:ascii="Arial" w:hAnsi="Arial" w:cs="Arial"/>
          <w:sz w:val="22"/>
        </w:rPr>
        <w:t xml:space="preserve">aine d’intervention nécessite </w:t>
      </w:r>
      <w:r w:rsidR="00EB134E" w:rsidRPr="00B60681">
        <w:rPr>
          <w:rFonts w:ascii="Arial" w:hAnsi="Arial" w:cs="Arial"/>
          <w:sz w:val="22"/>
        </w:rPr>
        <w:t>une attention particulière au titre de la sécurisation. Ces établissements sont identifiés dans le cadre des travaux du groupe d’appui technique</w:t>
      </w:r>
      <w:r w:rsidR="00B60681" w:rsidRPr="00B60681">
        <w:rPr>
          <w:rFonts w:ascii="Arial" w:hAnsi="Arial" w:cs="Arial"/>
          <w:sz w:val="22"/>
        </w:rPr>
        <w:t>.</w:t>
      </w:r>
    </w:p>
    <w:p w:rsidR="00280351" w:rsidRDefault="00280351" w:rsidP="00CD543C">
      <w:pPr>
        <w:jc w:val="both"/>
        <w:rPr>
          <w:rFonts w:ascii="Arial" w:hAnsi="Arial" w:cs="Arial"/>
          <w:sz w:val="22"/>
        </w:rPr>
      </w:pPr>
    </w:p>
    <w:p w:rsidR="00AF62F2" w:rsidRDefault="00D1480B" w:rsidP="00CD543C">
      <w:pPr>
        <w:jc w:val="both"/>
        <w:rPr>
          <w:rFonts w:ascii="Arial" w:hAnsi="Arial" w:cs="Arial"/>
          <w:sz w:val="22"/>
        </w:rPr>
      </w:pPr>
      <w:r>
        <w:rPr>
          <w:rFonts w:ascii="Arial" w:hAnsi="Arial" w:cs="Arial"/>
          <w:sz w:val="22"/>
        </w:rPr>
        <w:t xml:space="preserve">L’appel à projets </w:t>
      </w:r>
      <w:r w:rsidR="00E431A5">
        <w:rPr>
          <w:rFonts w:ascii="Arial" w:hAnsi="Arial" w:cs="Arial"/>
          <w:sz w:val="22"/>
        </w:rPr>
        <w:t xml:space="preserve">vise </w:t>
      </w:r>
      <w:r w:rsidR="00561CB4">
        <w:rPr>
          <w:rFonts w:ascii="Arial" w:hAnsi="Arial" w:cs="Arial"/>
          <w:sz w:val="22"/>
        </w:rPr>
        <w:t>à financer</w:t>
      </w:r>
      <w:r w:rsidR="00E52DBE">
        <w:rPr>
          <w:rFonts w:ascii="Arial" w:hAnsi="Arial" w:cs="Arial"/>
          <w:sz w:val="22"/>
        </w:rPr>
        <w:t xml:space="preserve"> toute</w:t>
      </w:r>
      <w:r w:rsidR="00CD543C">
        <w:rPr>
          <w:rFonts w:ascii="Arial" w:hAnsi="Arial" w:cs="Arial"/>
          <w:sz w:val="22"/>
        </w:rPr>
        <w:t xml:space="preserve"> mesure </w:t>
      </w:r>
      <w:r w:rsidR="00C9026B">
        <w:rPr>
          <w:rFonts w:ascii="Arial" w:hAnsi="Arial" w:cs="Arial"/>
          <w:sz w:val="22"/>
        </w:rPr>
        <w:t>de protection requérant un investissement matériel</w:t>
      </w:r>
      <w:r w:rsidR="00E52DBE">
        <w:rPr>
          <w:rFonts w:ascii="Arial" w:hAnsi="Arial" w:cs="Arial"/>
          <w:sz w:val="22"/>
        </w:rPr>
        <w:t xml:space="preserve"> dans les domaines suivants</w:t>
      </w:r>
      <w:r>
        <w:rPr>
          <w:rFonts w:ascii="Arial" w:hAnsi="Arial" w:cs="Arial"/>
          <w:sz w:val="22"/>
        </w:rPr>
        <w:t> :</w:t>
      </w:r>
    </w:p>
    <w:p w:rsidR="00AF62F2" w:rsidRDefault="00AF62F2" w:rsidP="00CD543C">
      <w:pPr>
        <w:jc w:val="both"/>
        <w:rPr>
          <w:rFonts w:ascii="Arial" w:hAnsi="Arial" w:cs="Arial"/>
          <w:sz w:val="22"/>
        </w:rPr>
      </w:pPr>
    </w:p>
    <w:p w:rsidR="00AF62F2" w:rsidRPr="00AF62F2" w:rsidRDefault="00AF62F2" w:rsidP="00AF62F2">
      <w:pPr>
        <w:autoSpaceDE w:val="0"/>
        <w:autoSpaceDN w:val="0"/>
        <w:jc w:val="both"/>
        <w:rPr>
          <w:rFonts w:ascii="Arial" w:hAnsi="Arial" w:cs="Arial"/>
          <w:iCs/>
          <w:sz w:val="22"/>
          <w:szCs w:val="22"/>
          <w:u w:val="single"/>
        </w:rPr>
      </w:pPr>
      <w:r w:rsidRPr="00AF62F2">
        <w:rPr>
          <w:rFonts w:ascii="Arial" w:hAnsi="Arial" w:cs="Arial"/>
          <w:iCs/>
          <w:sz w:val="22"/>
          <w:szCs w:val="22"/>
          <w:u w:val="single"/>
        </w:rPr>
        <w:t>1/</w:t>
      </w:r>
      <w:r>
        <w:rPr>
          <w:rFonts w:ascii="Arial" w:hAnsi="Arial" w:cs="Arial"/>
          <w:iCs/>
          <w:sz w:val="22"/>
          <w:szCs w:val="22"/>
          <w:u w:val="single"/>
        </w:rPr>
        <w:t xml:space="preserve"> </w:t>
      </w:r>
      <w:r w:rsidRPr="00AF62F2">
        <w:rPr>
          <w:rFonts w:ascii="Arial" w:hAnsi="Arial" w:cs="Arial"/>
          <w:iCs/>
          <w:sz w:val="22"/>
          <w:szCs w:val="22"/>
          <w:u w:val="single"/>
        </w:rPr>
        <w:t>Sécurisation immobilière :</w:t>
      </w:r>
    </w:p>
    <w:p w:rsidR="00AF62F2" w:rsidRPr="00AF62F2" w:rsidRDefault="00AF62F2" w:rsidP="00AF62F2">
      <w:pPr>
        <w:autoSpaceDE w:val="0"/>
        <w:autoSpaceDN w:val="0"/>
        <w:jc w:val="both"/>
        <w:rPr>
          <w:rFonts w:ascii="Arial" w:hAnsi="Arial" w:cs="Arial"/>
          <w:sz w:val="22"/>
          <w:szCs w:val="22"/>
        </w:rPr>
      </w:pPr>
    </w:p>
    <w:p w:rsidR="00AF62F2" w:rsidRPr="00AF62F2" w:rsidRDefault="00AF62F2" w:rsidP="00AF62F2">
      <w:pPr>
        <w:pStyle w:val="Paragraphedeliste"/>
        <w:numPr>
          <w:ilvl w:val="0"/>
          <w:numId w:val="14"/>
        </w:numPr>
        <w:autoSpaceDE w:val="0"/>
        <w:autoSpaceDN w:val="0"/>
        <w:contextualSpacing w:val="0"/>
        <w:jc w:val="both"/>
        <w:rPr>
          <w:rFonts w:ascii="Arial" w:hAnsi="Arial" w:cs="Arial"/>
          <w:sz w:val="22"/>
          <w:szCs w:val="22"/>
        </w:rPr>
      </w:pPr>
      <w:r w:rsidRPr="00AF62F2">
        <w:rPr>
          <w:rFonts w:ascii="Arial" w:hAnsi="Arial" w:cs="Arial"/>
          <w:sz w:val="22"/>
          <w:szCs w:val="22"/>
        </w:rPr>
        <w:t>Protections</w:t>
      </w:r>
      <w:r>
        <w:rPr>
          <w:rFonts w:ascii="Arial" w:hAnsi="Arial" w:cs="Arial"/>
          <w:sz w:val="22"/>
          <w:szCs w:val="22"/>
        </w:rPr>
        <w:t xml:space="preserve"> périphériques et périmétriques :</w:t>
      </w:r>
    </w:p>
    <w:p w:rsidR="00AF62F2" w:rsidRDefault="00AF62F2" w:rsidP="00AF62F2">
      <w:pPr>
        <w:pStyle w:val="Paragraphedeliste"/>
        <w:autoSpaceDE w:val="0"/>
        <w:autoSpaceDN w:val="0"/>
        <w:jc w:val="both"/>
        <w:rPr>
          <w:rFonts w:ascii="Arial" w:hAnsi="Arial" w:cs="Arial"/>
          <w:sz w:val="22"/>
          <w:szCs w:val="22"/>
        </w:rPr>
      </w:pPr>
      <w:r>
        <w:rPr>
          <w:rFonts w:ascii="Arial" w:hAnsi="Arial" w:cs="Arial"/>
          <w:sz w:val="22"/>
          <w:szCs w:val="22"/>
        </w:rPr>
        <w:t xml:space="preserve">Exemples : </w:t>
      </w:r>
      <w:r w:rsidRPr="00AF62F2">
        <w:rPr>
          <w:rFonts w:ascii="Arial" w:hAnsi="Arial" w:cs="Arial"/>
          <w:sz w:val="22"/>
          <w:szCs w:val="22"/>
        </w:rPr>
        <w:t>zonage</w:t>
      </w:r>
      <w:r>
        <w:rPr>
          <w:rFonts w:ascii="Arial" w:hAnsi="Arial" w:cs="Arial"/>
          <w:sz w:val="22"/>
          <w:szCs w:val="22"/>
        </w:rPr>
        <w:t>s, clôtures et</w:t>
      </w:r>
      <w:r w:rsidRPr="00AF62F2">
        <w:rPr>
          <w:rFonts w:ascii="Arial" w:hAnsi="Arial" w:cs="Arial"/>
          <w:sz w:val="22"/>
          <w:szCs w:val="22"/>
        </w:rPr>
        <w:t xml:space="preserve"> obstacles retardateurs, éclairages extérieurs, signalétique dissuasive…</w:t>
      </w:r>
    </w:p>
    <w:p w:rsidR="00AF62F2" w:rsidRPr="00AF62F2" w:rsidRDefault="00AF62F2" w:rsidP="00AF62F2">
      <w:pPr>
        <w:pStyle w:val="Paragraphedeliste"/>
        <w:autoSpaceDE w:val="0"/>
        <w:autoSpaceDN w:val="0"/>
        <w:jc w:val="both"/>
        <w:rPr>
          <w:rFonts w:ascii="Arial" w:hAnsi="Arial" w:cs="Arial"/>
          <w:sz w:val="22"/>
          <w:szCs w:val="22"/>
        </w:rPr>
      </w:pPr>
    </w:p>
    <w:p w:rsidR="00AF62F2" w:rsidRPr="00AF62F2" w:rsidRDefault="00AF62F2" w:rsidP="00AF62F2">
      <w:pPr>
        <w:pStyle w:val="Paragraphedeliste"/>
        <w:numPr>
          <w:ilvl w:val="0"/>
          <w:numId w:val="14"/>
        </w:numPr>
        <w:autoSpaceDE w:val="0"/>
        <w:autoSpaceDN w:val="0"/>
        <w:contextualSpacing w:val="0"/>
        <w:jc w:val="both"/>
        <w:rPr>
          <w:rFonts w:ascii="Arial" w:hAnsi="Arial" w:cs="Arial"/>
          <w:sz w:val="22"/>
          <w:szCs w:val="22"/>
        </w:rPr>
      </w:pPr>
      <w:r w:rsidRPr="00AF62F2">
        <w:rPr>
          <w:rFonts w:ascii="Arial" w:hAnsi="Arial" w:cs="Arial"/>
          <w:sz w:val="22"/>
          <w:szCs w:val="22"/>
        </w:rPr>
        <w:t xml:space="preserve">Protections </w:t>
      </w:r>
      <w:r>
        <w:rPr>
          <w:rFonts w:ascii="Arial" w:hAnsi="Arial" w:cs="Arial"/>
          <w:sz w:val="22"/>
          <w:szCs w:val="22"/>
        </w:rPr>
        <w:t>des bâtiments (accès et f</w:t>
      </w:r>
      <w:r w:rsidRPr="00AF62F2">
        <w:rPr>
          <w:rFonts w:ascii="Arial" w:hAnsi="Arial" w:cs="Arial"/>
          <w:sz w:val="22"/>
          <w:szCs w:val="22"/>
        </w:rPr>
        <w:t>lux)</w:t>
      </w:r>
      <w:r w:rsidR="003B2F53">
        <w:rPr>
          <w:rFonts w:ascii="Arial" w:hAnsi="Arial" w:cs="Arial"/>
          <w:sz w:val="22"/>
          <w:szCs w:val="22"/>
        </w:rPr>
        <w:t> :</w:t>
      </w:r>
    </w:p>
    <w:p w:rsidR="00280351" w:rsidRPr="00B60681" w:rsidRDefault="00AF62F2" w:rsidP="00B60681">
      <w:pPr>
        <w:pStyle w:val="Paragraphedeliste"/>
        <w:autoSpaceDE w:val="0"/>
        <w:autoSpaceDN w:val="0"/>
        <w:jc w:val="both"/>
        <w:rPr>
          <w:rFonts w:ascii="Arial" w:hAnsi="Arial" w:cs="Arial"/>
          <w:sz w:val="22"/>
          <w:szCs w:val="22"/>
        </w:rPr>
      </w:pPr>
      <w:r>
        <w:rPr>
          <w:rFonts w:ascii="Arial" w:hAnsi="Arial" w:cs="Arial"/>
          <w:sz w:val="22"/>
          <w:szCs w:val="22"/>
        </w:rPr>
        <w:t>Exemples : d</w:t>
      </w:r>
      <w:r w:rsidRPr="00AF62F2">
        <w:rPr>
          <w:rFonts w:ascii="Arial" w:hAnsi="Arial" w:cs="Arial"/>
          <w:sz w:val="22"/>
          <w:szCs w:val="22"/>
        </w:rPr>
        <w:t xml:space="preserve">ispositifs de contrôles d’accès (badges…), dissociation des points d’entrée/sortie, sécurisation des ouvrants en </w:t>
      </w:r>
      <w:proofErr w:type="spellStart"/>
      <w:r w:rsidRPr="00AF62F2">
        <w:rPr>
          <w:rFonts w:ascii="Arial" w:hAnsi="Arial" w:cs="Arial"/>
          <w:sz w:val="22"/>
          <w:szCs w:val="22"/>
        </w:rPr>
        <w:t>rez</w:t>
      </w:r>
      <w:proofErr w:type="spellEnd"/>
      <w:r w:rsidRPr="00AF62F2">
        <w:rPr>
          <w:rFonts w:ascii="Arial" w:hAnsi="Arial" w:cs="Arial"/>
          <w:sz w:val="22"/>
          <w:szCs w:val="22"/>
        </w:rPr>
        <w:t>-de chaussée, configuration des accueils, sécurisation des points névralgiques comme les PC de sécurité, les urgences…</w:t>
      </w:r>
    </w:p>
    <w:p w:rsidR="00B60681" w:rsidRPr="00AF62F2" w:rsidRDefault="00B60681" w:rsidP="00AF62F2">
      <w:pPr>
        <w:autoSpaceDE w:val="0"/>
        <w:autoSpaceDN w:val="0"/>
        <w:jc w:val="both"/>
        <w:rPr>
          <w:rFonts w:ascii="Arial" w:hAnsi="Arial" w:cs="Arial"/>
          <w:sz w:val="22"/>
          <w:szCs w:val="22"/>
          <w:u w:val="single"/>
        </w:rPr>
      </w:pPr>
    </w:p>
    <w:p w:rsidR="00AF62F2" w:rsidRPr="00AF62F2" w:rsidRDefault="00AF62F2" w:rsidP="00AF62F2">
      <w:pPr>
        <w:autoSpaceDE w:val="0"/>
        <w:autoSpaceDN w:val="0"/>
        <w:jc w:val="both"/>
        <w:rPr>
          <w:rFonts w:ascii="Arial" w:hAnsi="Arial" w:cs="Arial"/>
          <w:iCs/>
          <w:sz w:val="22"/>
          <w:szCs w:val="22"/>
          <w:u w:val="single"/>
        </w:rPr>
      </w:pPr>
      <w:r>
        <w:rPr>
          <w:rFonts w:ascii="Arial" w:hAnsi="Arial" w:cs="Arial"/>
          <w:iCs/>
          <w:sz w:val="22"/>
          <w:szCs w:val="22"/>
          <w:u w:val="single"/>
        </w:rPr>
        <w:t xml:space="preserve">2/ </w:t>
      </w:r>
      <w:r w:rsidRPr="00AF62F2">
        <w:rPr>
          <w:rFonts w:ascii="Arial" w:hAnsi="Arial" w:cs="Arial"/>
          <w:iCs/>
          <w:sz w:val="22"/>
          <w:szCs w:val="22"/>
          <w:u w:val="single"/>
        </w:rPr>
        <w:t>Equipements de sécurité :</w:t>
      </w:r>
    </w:p>
    <w:p w:rsidR="00AF62F2" w:rsidRPr="00AF62F2" w:rsidRDefault="00AF62F2" w:rsidP="00AF62F2">
      <w:pPr>
        <w:autoSpaceDE w:val="0"/>
        <w:autoSpaceDN w:val="0"/>
        <w:jc w:val="both"/>
        <w:rPr>
          <w:rFonts w:ascii="Arial" w:hAnsi="Arial" w:cs="Arial"/>
          <w:sz w:val="22"/>
          <w:szCs w:val="22"/>
        </w:rPr>
      </w:pPr>
    </w:p>
    <w:p w:rsidR="00AF62F2" w:rsidRPr="00AF62F2" w:rsidRDefault="00AF62F2" w:rsidP="00AF62F2">
      <w:pPr>
        <w:pStyle w:val="Paragraphedeliste"/>
        <w:numPr>
          <w:ilvl w:val="0"/>
          <w:numId w:val="14"/>
        </w:numPr>
        <w:autoSpaceDE w:val="0"/>
        <w:autoSpaceDN w:val="0"/>
        <w:contextualSpacing w:val="0"/>
        <w:jc w:val="both"/>
        <w:rPr>
          <w:rFonts w:ascii="Arial" w:hAnsi="Arial" w:cs="Arial"/>
          <w:sz w:val="22"/>
          <w:szCs w:val="22"/>
        </w:rPr>
      </w:pPr>
      <w:r w:rsidRPr="00AF62F2">
        <w:rPr>
          <w:rFonts w:ascii="Arial" w:hAnsi="Arial" w:cs="Arial"/>
          <w:sz w:val="22"/>
          <w:szCs w:val="22"/>
        </w:rPr>
        <w:t>Vidéo-surveillance</w:t>
      </w:r>
      <w:r w:rsidR="003B2F53">
        <w:rPr>
          <w:rFonts w:ascii="Arial" w:hAnsi="Arial" w:cs="Arial"/>
          <w:sz w:val="22"/>
          <w:szCs w:val="22"/>
        </w:rPr>
        <w:t> :</w:t>
      </w:r>
    </w:p>
    <w:p w:rsidR="00AF62F2" w:rsidRPr="00B60681" w:rsidRDefault="00AF62F2" w:rsidP="00B60681">
      <w:pPr>
        <w:pStyle w:val="Paragraphedeliste"/>
        <w:autoSpaceDE w:val="0"/>
        <w:autoSpaceDN w:val="0"/>
        <w:jc w:val="both"/>
        <w:rPr>
          <w:rFonts w:ascii="Arial" w:hAnsi="Arial" w:cs="Arial"/>
          <w:sz w:val="22"/>
          <w:szCs w:val="22"/>
        </w:rPr>
      </w:pPr>
      <w:r>
        <w:rPr>
          <w:rFonts w:ascii="Arial" w:hAnsi="Arial" w:cs="Arial"/>
          <w:sz w:val="22"/>
          <w:szCs w:val="22"/>
        </w:rPr>
        <w:t>Exemples : a</w:t>
      </w:r>
      <w:r w:rsidRPr="00AF62F2">
        <w:rPr>
          <w:rFonts w:ascii="Arial" w:hAnsi="Arial" w:cs="Arial"/>
          <w:sz w:val="22"/>
          <w:szCs w:val="22"/>
        </w:rPr>
        <w:t>mélioration ou installation de dispositifs</w:t>
      </w:r>
      <w:r>
        <w:rPr>
          <w:rFonts w:ascii="Arial" w:hAnsi="Arial" w:cs="Arial"/>
          <w:sz w:val="22"/>
          <w:szCs w:val="22"/>
        </w:rPr>
        <w:t xml:space="preserve"> de vidéo-protection extérieurs et</w:t>
      </w:r>
      <w:r w:rsidRPr="00AF62F2">
        <w:rPr>
          <w:rFonts w:ascii="Arial" w:hAnsi="Arial" w:cs="Arial"/>
          <w:sz w:val="22"/>
          <w:szCs w:val="22"/>
        </w:rPr>
        <w:t xml:space="preserve"> intérieurs…</w:t>
      </w:r>
    </w:p>
    <w:p w:rsidR="00AF62F2" w:rsidRPr="00AF62F2" w:rsidRDefault="00AF62F2" w:rsidP="00AF62F2">
      <w:pPr>
        <w:pStyle w:val="Paragraphedeliste"/>
        <w:numPr>
          <w:ilvl w:val="0"/>
          <w:numId w:val="14"/>
        </w:numPr>
        <w:autoSpaceDE w:val="0"/>
        <w:autoSpaceDN w:val="0"/>
        <w:contextualSpacing w:val="0"/>
        <w:jc w:val="both"/>
        <w:rPr>
          <w:rFonts w:ascii="Arial" w:hAnsi="Arial" w:cs="Arial"/>
          <w:sz w:val="22"/>
          <w:szCs w:val="22"/>
        </w:rPr>
      </w:pPr>
      <w:r w:rsidRPr="00AF62F2">
        <w:rPr>
          <w:rFonts w:ascii="Arial" w:hAnsi="Arial" w:cs="Arial"/>
          <w:sz w:val="22"/>
          <w:szCs w:val="22"/>
        </w:rPr>
        <w:lastRenderedPageBreak/>
        <w:t>Systèmes d’alerte</w:t>
      </w:r>
      <w:r w:rsidR="003B2F53">
        <w:rPr>
          <w:rFonts w:ascii="Arial" w:hAnsi="Arial" w:cs="Arial"/>
          <w:sz w:val="22"/>
          <w:szCs w:val="22"/>
        </w:rPr>
        <w:t> :</w:t>
      </w:r>
    </w:p>
    <w:p w:rsidR="00AF62F2" w:rsidRPr="00AF62F2" w:rsidRDefault="00AF62F2" w:rsidP="00AF62F2">
      <w:pPr>
        <w:pStyle w:val="Paragraphedeliste"/>
        <w:autoSpaceDE w:val="0"/>
        <w:autoSpaceDN w:val="0"/>
        <w:jc w:val="both"/>
        <w:rPr>
          <w:rFonts w:ascii="Arial" w:hAnsi="Arial" w:cs="Arial"/>
          <w:sz w:val="22"/>
          <w:szCs w:val="22"/>
        </w:rPr>
      </w:pPr>
      <w:r>
        <w:rPr>
          <w:rFonts w:ascii="Arial" w:hAnsi="Arial" w:cs="Arial"/>
          <w:sz w:val="22"/>
          <w:szCs w:val="22"/>
        </w:rPr>
        <w:t xml:space="preserve">Exemples : </w:t>
      </w:r>
      <w:r w:rsidRPr="00AF62F2">
        <w:rPr>
          <w:rFonts w:ascii="Arial" w:hAnsi="Arial" w:cs="Arial"/>
          <w:sz w:val="22"/>
          <w:szCs w:val="22"/>
        </w:rPr>
        <w:t>dispositif</w:t>
      </w:r>
      <w:r>
        <w:rPr>
          <w:rFonts w:ascii="Arial" w:hAnsi="Arial" w:cs="Arial"/>
          <w:sz w:val="22"/>
          <w:szCs w:val="22"/>
        </w:rPr>
        <w:t>s</w:t>
      </w:r>
      <w:r w:rsidRPr="00AF62F2">
        <w:rPr>
          <w:rFonts w:ascii="Arial" w:hAnsi="Arial" w:cs="Arial"/>
          <w:sz w:val="22"/>
          <w:szCs w:val="22"/>
        </w:rPr>
        <w:t xml:space="preserve"> de détection d’intrusion, distincts du système d’alerte sécurité incendie. Dispositifs soit perceptibles (détection + dissuasion, signalétique</w:t>
      </w:r>
      <w:r>
        <w:rPr>
          <w:rFonts w:ascii="Arial" w:hAnsi="Arial" w:cs="Arial"/>
          <w:sz w:val="22"/>
          <w:szCs w:val="22"/>
        </w:rPr>
        <w:t>, etc.</w:t>
      </w:r>
      <w:r w:rsidRPr="00AF62F2">
        <w:rPr>
          <w:rFonts w:ascii="Arial" w:hAnsi="Arial" w:cs="Arial"/>
          <w:sz w:val="22"/>
          <w:szCs w:val="22"/>
        </w:rPr>
        <w:t>) soit discrets (détec</w:t>
      </w:r>
      <w:r>
        <w:rPr>
          <w:rFonts w:ascii="Arial" w:hAnsi="Arial" w:cs="Arial"/>
          <w:sz w:val="22"/>
          <w:szCs w:val="22"/>
        </w:rPr>
        <w:t>tion infrarouge, thermique, etc.</w:t>
      </w:r>
      <w:r w:rsidRPr="00AF62F2">
        <w:rPr>
          <w:rFonts w:ascii="Arial" w:hAnsi="Arial" w:cs="Arial"/>
          <w:sz w:val="22"/>
          <w:szCs w:val="22"/>
        </w:rPr>
        <w:t>)</w:t>
      </w:r>
      <w:r>
        <w:rPr>
          <w:rFonts w:ascii="Arial" w:hAnsi="Arial" w:cs="Arial"/>
          <w:sz w:val="22"/>
          <w:szCs w:val="22"/>
        </w:rPr>
        <w:t>.</w:t>
      </w:r>
    </w:p>
    <w:p w:rsidR="00AF62F2" w:rsidRDefault="00AF62F2" w:rsidP="00CD543C">
      <w:pPr>
        <w:jc w:val="both"/>
        <w:rPr>
          <w:rFonts w:ascii="Arial" w:hAnsi="Arial" w:cs="Arial"/>
          <w:sz w:val="22"/>
        </w:rPr>
      </w:pPr>
    </w:p>
    <w:p w:rsidR="00CD543C" w:rsidRPr="009C341C" w:rsidRDefault="00CD543C" w:rsidP="00CD543C">
      <w:pPr>
        <w:jc w:val="both"/>
        <w:rPr>
          <w:rFonts w:ascii="Arial" w:hAnsi="Arial" w:cs="Arial"/>
          <w:sz w:val="22"/>
        </w:rPr>
      </w:pPr>
      <w:r>
        <w:rPr>
          <w:rFonts w:ascii="Arial" w:hAnsi="Arial" w:cs="Arial"/>
          <w:sz w:val="22"/>
        </w:rPr>
        <w:t xml:space="preserve">L’appui s’opérera sous forme d’un co-financement à hauteur maximum de 50% du montant </w:t>
      </w:r>
      <w:r w:rsidR="00C9026B">
        <w:rPr>
          <w:rFonts w:ascii="Arial" w:hAnsi="Arial" w:cs="Arial"/>
          <w:sz w:val="22"/>
        </w:rPr>
        <w:t>des investissements éligibles.</w:t>
      </w:r>
    </w:p>
    <w:p w:rsidR="00CD543C" w:rsidRDefault="00CD543C" w:rsidP="00CD543C">
      <w:pPr>
        <w:jc w:val="both"/>
        <w:rPr>
          <w:rFonts w:ascii="Arial" w:hAnsi="Arial" w:cs="Arial"/>
          <w:sz w:val="22"/>
        </w:rPr>
      </w:pPr>
    </w:p>
    <w:p w:rsidR="00C37041" w:rsidRDefault="00AF62F2" w:rsidP="00CD543C">
      <w:pPr>
        <w:jc w:val="both"/>
        <w:rPr>
          <w:rFonts w:ascii="Arial" w:hAnsi="Arial" w:cs="Arial"/>
          <w:sz w:val="22"/>
        </w:rPr>
      </w:pPr>
      <w:r>
        <w:rPr>
          <w:rFonts w:ascii="Arial" w:hAnsi="Arial" w:cs="Arial"/>
          <w:sz w:val="22"/>
        </w:rPr>
        <w:t xml:space="preserve">Les projets peuvent être composés au maximum de 10 mesures, par ordre de priorité en fonction des vulnérabilités identifiées. </w:t>
      </w:r>
      <w:r w:rsidR="00C37041">
        <w:rPr>
          <w:rFonts w:ascii="Arial" w:hAnsi="Arial" w:cs="Arial"/>
          <w:sz w:val="22"/>
        </w:rPr>
        <w:t>Les modalités et délais de réalisation d</w:t>
      </w:r>
      <w:r>
        <w:rPr>
          <w:rFonts w:ascii="Arial" w:hAnsi="Arial" w:cs="Arial"/>
          <w:sz w:val="22"/>
        </w:rPr>
        <w:t>e ces mesures sont à préciser.</w:t>
      </w:r>
    </w:p>
    <w:p w:rsidR="00AF62F2" w:rsidRDefault="00AF62F2" w:rsidP="00CD543C">
      <w:pPr>
        <w:jc w:val="both"/>
        <w:rPr>
          <w:rFonts w:ascii="Arial" w:hAnsi="Arial" w:cs="Arial"/>
          <w:sz w:val="22"/>
        </w:rPr>
      </w:pPr>
    </w:p>
    <w:p w:rsidR="00CD543C" w:rsidRDefault="00CD543C" w:rsidP="00CD543C">
      <w:pPr>
        <w:pStyle w:val="Titre1"/>
        <w:numPr>
          <w:ilvl w:val="0"/>
          <w:numId w:val="1"/>
        </w:numPr>
      </w:pPr>
      <w:r>
        <w:t>Structure porteuse du projet</w:t>
      </w:r>
    </w:p>
    <w:p w:rsidR="00CD543C" w:rsidRDefault="00CD543C" w:rsidP="00CD543C"/>
    <w:p w:rsidR="00CD543C" w:rsidRPr="00794E64" w:rsidRDefault="00CD543C" w:rsidP="00CD543C">
      <w:pPr>
        <w:jc w:val="both"/>
        <w:rPr>
          <w:rFonts w:ascii="Arial" w:hAnsi="Arial" w:cs="Arial"/>
          <w:sz w:val="22"/>
        </w:rPr>
      </w:pPr>
      <w:r w:rsidRPr="00794E64">
        <w:rPr>
          <w:rFonts w:ascii="Arial" w:hAnsi="Arial" w:cs="Arial"/>
          <w:sz w:val="22"/>
        </w:rPr>
        <w:t>Les projets sont portés par un</w:t>
      </w:r>
      <w:r>
        <w:rPr>
          <w:rFonts w:ascii="Arial" w:hAnsi="Arial" w:cs="Arial"/>
          <w:sz w:val="22"/>
        </w:rPr>
        <w:t xml:space="preserve">e structure disposant d’un FINESS entité juridique </w:t>
      </w:r>
      <w:r w:rsidR="00C37041">
        <w:rPr>
          <w:rFonts w:ascii="Arial" w:hAnsi="Arial" w:cs="Arial"/>
          <w:sz w:val="22"/>
        </w:rPr>
        <w:t>(</w:t>
      </w:r>
      <w:r w:rsidR="00C37041" w:rsidRPr="00794E64">
        <w:rPr>
          <w:rFonts w:ascii="Arial" w:hAnsi="Arial" w:cs="Arial"/>
          <w:sz w:val="22"/>
        </w:rPr>
        <w:t>établissement</w:t>
      </w:r>
      <w:r w:rsidRPr="00794E64">
        <w:rPr>
          <w:rFonts w:ascii="Arial" w:hAnsi="Arial" w:cs="Arial"/>
          <w:sz w:val="22"/>
        </w:rPr>
        <w:t xml:space="preserve"> de santé</w:t>
      </w:r>
      <w:r>
        <w:rPr>
          <w:rFonts w:ascii="Arial" w:hAnsi="Arial" w:cs="Arial"/>
          <w:sz w:val="22"/>
        </w:rPr>
        <w:t>, GCS, GH, …)</w:t>
      </w:r>
      <w:r w:rsidRPr="00794E64">
        <w:rPr>
          <w:rFonts w:ascii="Arial" w:hAnsi="Arial" w:cs="Arial"/>
          <w:sz w:val="22"/>
        </w:rPr>
        <w:t>, ci-après dénommé entité juridique, au profit d’un</w:t>
      </w:r>
      <w:r>
        <w:rPr>
          <w:rFonts w:ascii="Arial" w:hAnsi="Arial" w:cs="Arial"/>
          <w:sz w:val="22"/>
        </w:rPr>
        <w:t xml:space="preserve"> ou plusieurs</w:t>
      </w:r>
      <w:r w:rsidRPr="00794E64">
        <w:rPr>
          <w:rFonts w:ascii="Arial" w:hAnsi="Arial" w:cs="Arial"/>
          <w:sz w:val="22"/>
        </w:rPr>
        <w:t xml:space="preserve"> site</w:t>
      </w:r>
      <w:r>
        <w:rPr>
          <w:rFonts w:ascii="Arial" w:hAnsi="Arial" w:cs="Arial"/>
          <w:sz w:val="22"/>
        </w:rPr>
        <w:t>s</w:t>
      </w:r>
      <w:r w:rsidRPr="00794E64">
        <w:rPr>
          <w:rFonts w:ascii="Arial" w:hAnsi="Arial" w:cs="Arial"/>
          <w:sz w:val="22"/>
        </w:rPr>
        <w:t xml:space="preserve"> (disposant d</w:t>
      </w:r>
      <w:r>
        <w:rPr>
          <w:rFonts w:ascii="Arial" w:hAnsi="Arial" w:cs="Arial"/>
          <w:sz w:val="22"/>
        </w:rPr>
        <w:t>’un</w:t>
      </w:r>
      <w:r w:rsidRPr="00794E64">
        <w:rPr>
          <w:rFonts w:ascii="Arial" w:hAnsi="Arial" w:cs="Arial"/>
          <w:sz w:val="22"/>
        </w:rPr>
        <w:t xml:space="preserve"> FINESS géographique), ci-après dénommé entité géographique. </w:t>
      </w:r>
    </w:p>
    <w:p w:rsidR="00CD543C" w:rsidRPr="00794E64" w:rsidRDefault="00CD543C" w:rsidP="00CD543C">
      <w:pPr>
        <w:jc w:val="both"/>
        <w:rPr>
          <w:rFonts w:ascii="Arial" w:hAnsi="Arial" w:cs="Arial"/>
          <w:sz w:val="22"/>
        </w:rPr>
      </w:pPr>
    </w:p>
    <w:p w:rsidR="00CD543C" w:rsidRDefault="00CD543C" w:rsidP="00CD543C">
      <w:pPr>
        <w:jc w:val="both"/>
        <w:rPr>
          <w:rFonts w:ascii="Arial" w:hAnsi="Arial" w:cs="Arial"/>
          <w:sz w:val="22"/>
        </w:rPr>
      </w:pPr>
      <w:r w:rsidRPr="00794E64">
        <w:rPr>
          <w:rFonts w:ascii="Arial" w:hAnsi="Arial" w:cs="Arial"/>
          <w:sz w:val="22"/>
        </w:rPr>
        <w:t>Une même entité juridique peut porter plusieurs projets au profit d’entité</w:t>
      </w:r>
      <w:r>
        <w:rPr>
          <w:rFonts w:ascii="Arial" w:hAnsi="Arial" w:cs="Arial"/>
          <w:sz w:val="22"/>
        </w:rPr>
        <w:t>s</w:t>
      </w:r>
      <w:r w:rsidRPr="00794E64">
        <w:rPr>
          <w:rFonts w:ascii="Arial" w:hAnsi="Arial" w:cs="Arial"/>
          <w:sz w:val="22"/>
        </w:rPr>
        <w:t xml:space="preserve"> géographique</w:t>
      </w:r>
      <w:r>
        <w:rPr>
          <w:rFonts w:ascii="Arial" w:hAnsi="Arial" w:cs="Arial"/>
          <w:sz w:val="22"/>
        </w:rPr>
        <w:t>s</w:t>
      </w:r>
      <w:r w:rsidRPr="00794E64">
        <w:rPr>
          <w:rFonts w:ascii="Arial" w:hAnsi="Arial" w:cs="Arial"/>
          <w:sz w:val="22"/>
        </w:rPr>
        <w:t xml:space="preserve"> différentes.</w:t>
      </w:r>
    </w:p>
    <w:p w:rsidR="00CD543C" w:rsidRDefault="00CD543C" w:rsidP="00CD543C">
      <w:pPr>
        <w:rPr>
          <w:rFonts w:ascii="Arial" w:hAnsi="Arial" w:cs="Arial"/>
          <w:sz w:val="22"/>
        </w:rPr>
      </w:pPr>
    </w:p>
    <w:p w:rsidR="00CD543C" w:rsidRDefault="00CD543C" w:rsidP="00CD543C">
      <w:pPr>
        <w:pStyle w:val="Titre1"/>
        <w:numPr>
          <w:ilvl w:val="0"/>
          <w:numId w:val="1"/>
        </w:numPr>
      </w:pPr>
      <w:r>
        <w:t>Critères d’appréciation et de sélection des dossiers</w:t>
      </w:r>
    </w:p>
    <w:p w:rsidR="00CD543C" w:rsidRDefault="00CD543C" w:rsidP="00CD543C"/>
    <w:p w:rsidR="00CD543C" w:rsidRDefault="00CD543C" w:rsidP="00CD543C">
      <w:pPr>
        <w:jc w:val="both"/>
        <w:rPr>
          <w:rFonts w:ascii="Arial" w:hAnsi="Arial" w:cs="Arial"/>
          <w:sz w:val="22"/>
        </w:rPr>
      </w:pPr>
      <w:r w:rsidRPr="00794E64">
        <w:rPr>
          <w:rFonts w:ascii="Arial" w:hAnsi="Arial" w:cs="Arial"/>
          <w:sz w:val="22"/>
        </w:rPr>
        <w:t>En vue de son éventuel co-financement, le projet sera évalué par l’Agence régionale de santé, à partir du dossier transmis et de toutes ses parties (selon le plan détaillé du dossier-type ci-joint qui devra être accompagné des documents annexes nécessaires) au regard des critères d’appréciation suivants :</w:t>
      </w:r>
    </w:p>
    <w:p w:rsidR="001503E6" w:rsidRDefault="001503E6" w:rsidP="001503E6">
      <w:pPr>
        <w:pStyle w:val="Titre2"/>
        <w:numPr>
          <w:ilvl w:val="0"/>
          <w:numId w:val="4"/>
        </w:numPr>
      </w:pPr>
      <w:r>
        <w:t>Critères de recevabilité des dossiers</w:t>
      </w:r>
    </w:p>
    <w:p w:rsidR="001503E6" w:rsidRPr="00D64EEA" w:rsidRDefault="001503E6" w:rsidP="001503E6"/>
    <w:p w:rsidR="001503E6" w:rsidRPr="00AF62F2" w:rsidRDefault="001503E6" w:rsidP="00AF62F2">
      <w:pPr>
        <w:pStyle w:val="Paragraphedeliste"/>
        <w:numPr>
          <w:ilvl w:val="0"/>
          <w:numId w:val="6"/>
        </w:numPr>
        <w:jc w:val="both"/>
        <w:rPr>
          <w:rFonts w:ascii="Arial" w:hAnsi="Arial" w:cs="Arial"/>
          <w:sz w:val="22"/>
        </w:rPr>
      </w:pPr>
      <w:r w:rsidRPr="00AF62F2">
        <w:rPr>
          <w:rFonts w:ascii="Arial" w:hAnsi="Arial" w:cs="Arial"/>
          <w:sz w:val="22"/>
        </w:rPr>
        <w:t>La conclusion du Plan de sécurisation de l’établissement en conformité avec la trame du guide PSE</w:t>
      </w:r>
      <w:r w:rsidR="003B2F53">
        <w:rPr>
          <w:rFonts w:ascii="Arial" w:hAnsi="Arial" w:cs="Arial"/>
          <w:sz w:val="22"/>
        </w:rPr>
        <w:t> ;</w:t>
      </w:r>
    </w:p>
    <w:p w:rsidR="001503E6" w:rsidRDefault="001503E6" w:rsidP="001503E6">
      <w:pPr>
        <w:pStyle w:val="Paragraphedeliste"/>
        <w:numPr>
          <w:ilvl w:val="0"/>
          <w:numId w:val="6"/>
        </w:numPr>
        <w:jc w:val="both"/>
        <w:rPr>
          <w:rFonts w:ascii="Arial" w:hAnsi="Arial" w:cs="Arial"/>
          <w:sz w:val="22"/>
        </w:rPr>
      </w:pPr>
      <w:r>
        <w:rPr>
          <w:rFonts w:ascii="Arial" w:hAnsi="Arial" w:cs="Arial"/>
          <w:sz w:val="22"/>
        </w:rPr>
        <w:t xml:space="preserve">L’existence d’un audit de sécurité à jour </w:t>
      </w:r>
      <w:r w:rsidR="005051C6">
        <w:rPr>
          <w:rFonts w:ascii="Arial" w:hAnsi="Arial" w:cs="Arial"/>
          <w:sz w:val="22"/>
        </w:rPr>
        <w:t xml:space="preserve">ou en cours d’actualisation </w:t>
      </w:r>
      <w:bookmarkStart w:id="0" w:name="_GoBack"/>
      <w:bookmarkEnd w:id="0"/>
      <w:r>
        <w:rPr>
          <w:rFonts w:ascii="Arial" w:hAnsi="Arial" w:cs="Arial"/>
          <w:sz w:val="22"/>
        </w:rPr>
        <w:t>(réalisé en interne ou en externe) prenant en compte le risque d’attentat et de sur-attentat ;</w:t>
      </w:r>
    </w:p>
    <w:p w:rsidR="001503E6" w:rsidRPr="00ED6799" w:rsidRDefault="001503E6" w:rsidP="001503E6">
      <w:pPr>
        <w:pStyle w:val="Paragraphedeliste"/>
        <w:numPr>
          <w:ilvl w:val="0"/>
          <w:numId w:val="6"/>
        </w:numPr>
        <w:jc w:val="both"/>
        <w:rPr>
          <w:rFonts w:ascii="Arial" w:hAnsi="Arial" w:cs="Arial"/>
          <w:sz w:val="22"/>
        </w:rPr>
      </w:pPr>
      <w:r>
        <w:rPr>
          <w:rFonts w:ascii="Arial" w:hAnsi="Arial" w:cs="Arial"/>
          <w:sz w:val="22"/>
        </w:rPr>
        <w:t xml:space="preserve">L’existence d’une analyse de la vulnérabilité de l’établissement, notamment les points névralgiques en </w:t>
      </w:r>
      <w:r w:rsidR="003B2F53">
        <w:rPr>
          <w:rFonts w:ascii="Arial" w:hAnsi="Arial" w:cs="Arial"/>
          <w:sz w:val="22"/>
        </w:rPr>
        <w:t>amont des mesures de protection ;</w:t>
      </w:r>
    </w:p>
    <w:p w:rsidR="001503E6" w:rsidRDefault="001503E6" w:rsidP="001503E6">
      <w:pPr>
        <w:pStyle w:val="Paragraphedeliste"/>
        <w:numPr>
          <w:ilvl w:val="0"/>
          <w:numId w:val="6"/>
        </w:numPr>
        <w:jc w:val="both"/>
        <w:rPr>
          <w:rFonts w:ascii="Arial" w:hAnsi="Arial" w:cs="Arial"/>
          <w:sz w:val="22"/>
        </w:rPr>
      </w:pPr>
      <w:r>
        <w:rPr>
          <w:rFonts w:ascii="Arial" w:hAnsi="Arial" w:cs="Arial"/>
          <w:sz w:val="22"/>
        </w:rPr>
        <w:t>La mise en place d’une équipe pluridisciplinaire dédiée au portage du projet de sécurisation</w:t>
      </w:r>
      <w:r w:rsidR="003B2F53">
        <w:rPr>
          <w:rFonts w:ascii="Arial" w:hAnsi="Arial" w:cs="Arial"/>
          <w:sz w:val="22"/>
        </w:rPr>
        <w:t> ;</w:t>
      </w:r>
    </w:p>
    <w:p w:rsidR="001503E6" w:rsidRDefault="001503E6" w:rsidP="001503E6">
      <w:pPr>
        <w:pStyle w:val="Paragraphedeliste"/>
        <w:numPr>
          <w:ilvl w:val="0"/>
          <w:numId w:val="6"/>
        </w:numPr>
        <w:jc w:val="both"/>
        <w:rPr>
          <w:rFonts w:ascii="Arial" w:hAnsi="Arial" w:cs="Arial"/>
          <w:sz w:val="22"/>
        </w:rPr>
      </w:pPr>
      <w:r>
        <w:rPr>
          <w:rFonts w:ascii="Arial" w:hAnsi="Arial" w:cs="Arial"/>
          <w:sz w:val="22"/>
        </w:rPr>
        <w:t xml:space="preserve">L’existence ou le projet de validation d’une convention santé-sécurité-justice découlant de la mise en œuvre du protocole d’accord sur l’amélioration de la sécurité dans les établissements de santé du 10 juin 2010, prenant notamment en compte le </w:t>
      </w:r>
      <w:r w:rsidR="003B2F53">
        <w:rPr>
          <w:rFonts w:ascii="Arial" w:hAnsi="Arial" w:cs="Arial"/>
          <w:sz w:val="22"/>
        </w:rPr>
        <w:t>risque attentat et sur-attentat ;</w:t>
      </w:r>
    </w:p>
    <w:p w:rsidR="001503E6" w:rsidRDefault="001503E6" w:rsidP="001503E6">
      <w:pPr>
        <w:pStyle w:val="Paragraphedeliste"/>
        <w:numPr>
          <w:ilvl w:val="0"/>
          <w:numId w:val="6"/>
        </w:numPr>
        <w:jc w:val="both"/>
        <w:rPr>
          <w:rFonts w:ascii="Arial" w:hAnsi="Arial" w:cs="Arial"/>
          <w:sz w:val="22"/>
        </w:rPr>
      </w:pPr>
      <w:r>
        <w:rPr>
          <w:rFonts w:ascii="Arial" w:hAnsi="Arial" w:cs="Arial"/>
          <w:sz w:val="22"/>
        </w:rPr>
        <w:t>La fourniture de devis indiq</w:t>
      </w:r>
      <w:r w:rsidR="003B2F53">
        <w:rPr>
          <w:rFonts w:ascii="Arial" w:hAnsi="Arial" w:cs="Arial"/>
          <w:sz w:val="22"/>
        </w:rPr>
        <w:t>uant les besoins de financement ;</w:t>
      </w:r>
    </w:p>
    <w:p w:rsidR="001503E6" w:rsidRDefault="001503E6" w:rsidP="00CD543C">
      <w:pPr>
        <w:jc w:val="both"/>
        <w:rPr>
          <w:rFonts w:ascii="Arial" w:hAnsi="Arial" w:cs="Arial"/>
          <w:sz w:val="22"/>
        </w:rPr>
      </w:pPr>
    </w:p>
    <w:p w:rsidR="00CD543C" w:rsidRDefault="00CD543C" w:rsidP="00CD543C">
      <w:pPr>
        <w:pStyle w:val="Titre2"/>
        <w:numPr>
          <w:ilvl w:val="0"/>
          <w:numId w:val="4"/>
        </w:numPr>
      </w:pPr>
      <w:r>
        <w:lastRenderedPageBreak/>
        <w:t>Priorisation des dossiers :</w:t>
      </w:r>
    </w:p>
    <w:p w:rsidR="00AF62F2" w:rsidRPr="00AF62F2" w:rsidRDefault="00AF62F2" w:rsidP="00AF62F2"/>
    <w:p w:rsidR="00C262E6" w:rsidRPr="00AF62F2" w:rsidRDefault="00AB66A0" w:rsidP="00AF62F2">
      <w:pPr>
        <w:pStyle w:val="Paragraphedeliste"/>
        <w:numPr>
          <w:ilvl w:val="0"/>
          <w:numId w:val="16"/>
        </w:numPr>
        <w:jc w:val="both"/>
        <w:rPr>
          <w:rFonts w:ascii="Arial" w:hAnsi="Arial" w:cs="Arial"/>
          <w:sz w:val="22"/>
        </w:rPr>
      </w:pPr>
      <w:r w:rsidRPr="00AF62F2">
        <w:rPr>
          <w:rFonts w:ascii="Arial" w:hAnsi="Arial" w:cs="Arial"/>
          <w:sz w:val="22"/>
        </w:rPr>
        <w:t>L’adéquation entre le contenu des actions prioritaires et les vulnérabilités identifi</w:t>
      </w:r>
      <w:r w:rsidR="0017287C">
        <w:rPr>
          <w:rFonts w:ascii="Arial" w:hAnsi="Arial" w:cs="Arial"/>
          <w:sz w:val="22"/>
        </w:rPr>
        <w:t>ées dans le diagnostic de sécurité</w:t>
      </w:r>
      <w:r w:rsidRPr="00AF62F2">
        <w:rPr>
          <w:rFonts w:ascii="Arial" w:hAnsi="Arial" w:cs="Arial"/>
          <w:sz w:val="22"/>
        </w:rPr>
        <w:t>;</w:t>
      </w:r>
    </w:p>
    <w:p w:rsidR="00AF62F2" w:rsidRPr="00AF62F2" w:rsidRDefault="00AF62F2" w:rsidP="00AF62F2">
      <w:pPr>
        <w:jc w:val="both"/>
        <w:rPr>
          <w:rFonts w:ascii="Arial" w:hAnsi="Arial" w:cs="Arial"/>
          <w:sz w:val="22"/>
        </w:rPr>
      </w:pPr>
    </w:p>
    <w:p w:rsidR="00C262E6" w:rsidRPr="00AF62F2" w:rsidRDefault="00C262E6" w:rsidP="00AF62F2">
      <w:pPr>
        <w:pStyle w:val="Paragraphedeliste"/>
        <w:numPr>
          <w:ilvl w:val="0"/>
          <w:numId w:val="16"/>
        </w:numPr>
        <w:jc w:val="both"/>
        <w:rPr>
          <w:rFonts w:ascii="Arial" w:hAnsi="Arial" w:cs="Arial"/>
          <w:sz w:val="22"/>
        </w:rPr>
      </w:pPr>
      <w:r w:rsidRPr="00AF62F2">
        <w:rPr>
          <w:rFonts w:ascii="Arial" w:hAnsi="Arial" w:cs="Arial"/>
          <w:sz w:val="22"/>
        </w:rPr>
        <w:t>L’existence d’une politique de sécurité ou politique de la ville spécifique au quartier où se situe l’établissement (zone de sécurité prioritaire, quartier prioritaire, zone urbaine sensible) ;</w:t>
      </w:r>
    </w:p>
    <w:p w:rsidR="0012032B" w:rsidRDefault="0012032B" w:rsidP="0012032B">
      <w:pPr>
        <w:pStyle w:val="Titre1"/>
        <w:numPr>
          <w:ilvl w:val="0"/>
          <w:numId w:val="1"/>
        </w:numPr>
      </w:pPr>
      <w:r>
        <w:t>Modalités de réception des dossiers et procédure</w:t>
      </w:r>
    </w:p>
    <w:p w:rsidR="0012032B" w:rsidRDefault="0012032B" w:rsidP="0012032B"/>
    <w:p w:rsidR="0012032B" w:rsidRPr="00E57DDA" w:rsidRDefault="0012032B" w:rsidP="0012032B">
      <w:pPr>
        <w:jc w:val="both"/>
        <w:rPr>
          <w:rFonts w:ascii="Arial" w:hAnsi="Arial" w:cs="Arial"/>
          <w:sz w:val="22"/>
        </w:rPr>
      </w:pPr>
      <w:r w:rsidRPr="00E57DDA">
        <w:rPr>
          <w:rFonts w:ascii="Arial" w:hAnsi="Arial" w:cs="Arial"/>
          <w:sz w:val="22"/>
        </w:rPr>
        <w:t>La réponse à cet appel à projet</w:t>
      </w:r>
      <w:r>
        <w:rPr>
          <w:rFonts w:ascii="Arial" w:hAnsi="Arial" w:cs="Arial"/>
          <w:sz w:val="22"/>
        </w:rPr>
        <w:t>s</w:t>
      </w:r>
      <w:r w:rsidRPr="00E57DDA">
        <w:rPr>
          <w:rFonts w:ascii="Arial" w:hAnsi="Arial" w:cs="Arial"/>
          <w:sz w:val="22"/>
        </w:rPr>
        <w:t xml:space="preserve"> comporte :</w:t>
      </w:r>
    </w:p>
    <w:p w:rsidR="0012032B" w:rsidRPr="00E57DDA" w:rsidRDefault="0012032B" w:rsidP="0012032B">
      <w:pPr>
        <w:pStyle w:val="Paragraphedeliste"/>
        <w:numPr>
          <w:ilvl w:val="0"/>
          <w:numId w:val="8"/>
        </w:numPr>
        <w:jc w:val="both"/>
        <w:rPr>
          <w:rFonts w:ascii="Arial" w:hAnsi="Arial" w:cs="Arial"/>
          <w:sz w:val="22"/>
        </w:rPr>
      </w:pPr>
      <w:r w:rsidRPr="00E57DDA">
        <w:rPr>
          <w:rFonts w:ascii="Arial" w:hAnsi="Arial" w:cs="Arial"/>
          <w:sz w:val="22"/>
        </w:rPr>
        <w:t>Le dossier type de réponse</w:t>
      </w:r>
      <w:r>
        <w:rPr>
          <w:rFonts w:ascii="Arial" w:hAnsi="Arial" w:cs="Arial"/>
          <w:sz w:val="22"/>
        </w:rPr>
        <w:t> ;</w:t>
      </w:r>
    </w:p>
    <w:p w:rsidR="0012032B" w:rsidRDefault="00C15225" w:rsidP="0012032B">
      <w:pPr>
        <w:pStyle w:val="Paragraphedeliste"/>
        <w:numPr>
          <w:ilvl w:val="0"/>
          <w:numId w:val="8"/>
        </w:numPr>
        <w:jc w:val="both"/>
        <w:rPr>
          <w:rFonts w:ascii="Arial" w:hAnsi="Arial" w:cs="Arial"/>
          <w:sz w:val="22"/>
        </w:rPr>
      </w:pPr>
      <w:r>
        <w:rPr>
          <w:rFonts w:ascii="Arial" w:hAnsi="Arial" w:cs="Arial"/>
          <w:sz w:val="22"/>
        </w:rPr>
        <w:t xml:space="preserve">Les pièces annexes </w:t>
      </w:r>
      <w:r w:rsidR="0012032B" w:rsidRPr="00E57DDA">
        <w:rPr>
          <w:rFonts w:ascii="Arial" w:hAnsi="Arial" w:cs="Arial"/>
          <w:sz w:val="22"/>
        </w:rPr>
        <w:t>demandées</w:t>
      </w:r>
      <w:r w:rsidR="0012032B">
        <w:rPr>
          <w:rFonts w:ascii="Arial" w:hAnsi="Arial" w:cs="Arial"/>
          <w:sz w:val="22"/>
        </w:rPr>
        <w:t>.</w:t>
      </w:r>
    </w:p>
    <w:p w:rsidR="0012032B" w:rsidRDefault="0012032B" w:rsidP="0012032B">
      <w:pPr>
        <w:jc w:val="both"/>
        <w:rPr>
          <w:rFonts w:ascii="Arial" w:hAnsi="Arial" w:cs="Arial"/>
          <w:sz w:val="22"/>
        </w:rPr>
      </w:pPr>
    </w:p>
    <w:p w:rsidR="0012032B" w:rsidRDefault="0012032B" w:rsidP="0012032B">
      <w:pPr>
        <w:jc w:val="both"/>
        <w:rPr>
          <w:rFonts w:ascii="Arial" w:hAnsi="Arial" w:cs="Arial"/>
          <w:sz w:val="22"/>
        </w:rPr>
      </w:pPr>
      <w:r w:rsidRPr="00E57DDA">
        <w:rPr>
          <w:rFonts w:ascii="Arial" w:hAnsi="Arial" w:cs="Arial"/>
          <w:sz w:val="22"/>
        </w:rPr>
        <w:t>Les réponses</w:t>
      </w:r>
      <w:r w:rsidRPr="00C15225">
        <w:rPr>
          <w:rFonts w:ascii="Arial" w:hAnsi="Arial" w:cs="Arial"/>
          <w:sz w:val="22"/>
        </w:rPr>
        <w:t xml:space="preserve"> doivent</w:t>
      </w:r>
      <w:r w:rsidRPr="00E57DDA">
        <w:rPr>
          <w:rFonts w:ascii="Arial" w:hAnsi="Arial" w:cs="Arial"/>
          <w:sz w:val="22"/>
        </w:rPr>
        <w:t xml:space="preserve"> parvenir à l’Agence régionale de santé d’</w:t>
      </w:r>
      <w:r>
        <w:rPr>
          <w:rFonts w:ascii="Arial" w:hAnsi="Arial" w:cs="Arial"/>
          <w:sz w:val="22"/>
        </w:rPr>
        <w:t>Occitanie,</w:t>
      </w:r>
      <w:r w:rsidRPr="00E57DDA">
        <w:rPr>
          <w:rFonts w:ascii="Arial" w:hAnsi="Arial" w:cs="Arial"/>
          <w:sz w:val="22"/>
        </w:rPr>
        <w:t xml:space="preserve"> </w:t>
      </w:r>
      <w:r w:rsidRPr="00B60681">
        <w:rPr>
          <w:rFonts w:ascii="Arial" w:hAnsi="Arial" w:cs="Arial"/>
          <w:b/>
          <w:sz w:val="22"/>
        </w:rPr>
        <w:t xml:space="preserve">le </w:t>
      </w:r>
      <w:r w:rsidR="002037A3" w:rsidRPr="00B60681">
        <w:rPr>
          <w:rFonts w:ascii="Arial" w:hAnsi="Arial" w:cs="Arial"/>
          <w:b/>
          <w:sz w:val="22"/>
        </w:rPr>
        <w:t xml:space="preserve">10 avril 2020 </w:t>
      </w:r>
      <w:r w:rsidRPr="00B60681">
        <w:rPr>
          <w:rFonts w:ascii="Arial" w:hAnsi="Arial" w:cs="Arial"/>
          <w:b/>
          <w:sz w:val="22"/>
        </w:rPr>
        <w:t>au plus tard</w:t>
      </w:r>
      <w:r w:rsidRPr="00B60681">
        <w:rPr>
          <w:rFonts w:ascii="Arial" w:hAnsi="Arial" w:cs="Arial"/>
          <w:sz w:val="22"/>
        </w:rPr>
        <w:t xml:space="preserve"> </w:t>
      </w:r>
      <w:r w:rsidRPr="00AF767A">
        <w:rPr>
          <w:rFonts w:ascii="Arial" w:hAnsi="Arial" w:cs="Arial"/>
          <w:sz w:val="22"/>
        </w:rPr>
        <w:t>(accusé de réception faisant foi) :</w:t>
      </w:r>
    </w:p>
    <w:p w:rsidR="009D781A" w:rsidRPr="00AF767A" w:rsidRDefault="009D781A" w:rsidP="0012032B">
      <w:pPr>
        <w:jc w:val="both"/>
        <w:rPr>
          <w:rFonts w:ascii="Arial" w:hAnsi="Arial" w:cs="Arial"/>
          <w:sz w:val="22"/>
        </w:rPr>
      </w:pPr>
    </w:p>
    <w:p w:rsidR="004B231B" w:rsidRDefault="0012032B" w:rsidP="002037A3">
      <w:pPr>
        <w:jc w:val="both"/>
        <w:rPr>
          <w:rFonts w:ascii="Arial" w:hAnsi="Arial" w:cs="Arial"/>
          <w:sz w:val="22"/>
        </w:rPr>
      </w:pPr>
      <w:r w:rsidRPr="00AF767A">
        <w:rPr>
          <w:rFonts w:ascii="Arial" w:hAnsi="Arial" w:cs="Arial"/>
          <w:sz w:val="22"/>
        </w:rPr>
        <w:t xml:space="preserve">- Sous format électronique </w:t>
      </w:r>
      <w:r w:rsidR="004B231B">
        <w:rPr>
          <w:rFonts w:ascii="Arial" w:hAnsi="Arial" w:cs="Arial"/>
          <w:sz w:val="22"/>
        </w:rPr>
        <w:t xml:space="preserve">aux </w:t>
      </w:r>
      <w:r w:rsidRPr="00AF767A">
        <w:rPr>
          <w:rFonts w:ascii="Arial" w:hAnsi="Arial" w:cs="Arial"/>
          <w:sz w:val="22"/>
        </w:rPr>
        <w:t>adresse</w:t>
      </w:r>
      <w:r w:rsidR="004D4D9B">
        <w:rPr>
          <w:rFonts w:ascii="Arial" w:hAnsi="Arial" w:cs="Arial"/>
          <w:sz w:val="22"/>
        </w:rPr>
        <w:t>s</w:t>
      </w:r>
      <w:r w:rsidRPr="00AF767A">
        <w:rPr>
          <w:rFonts w:ascii="Arial" w:hAnsi="Arial" w:cs="Arial"/>
          <w:sz w:val="22"/>
        </w:rPr>
        <w:t xml:space="preserve"> suivante</w:t>
      </w:r>
      <w:r w:rsidR="004B231B">
        <w:rPr>
          <w:rFonts w:ascii="Arial" w:hAnsi="Arial" w:cs="Arial"/>
          <w:sz w:val="22"/>
        </w:rPr>
        <w:t>s</w:t>
      </w:r>
      <w:r w:rsidRPr="00AF767A">
        <w:rPr>
          <w:rFonts w:ascii="Arial" w:hAnsi="Arial" w:cs="Arial"/>
          <w:sz w:val="22"/>
        </w:rPr>
        <w:t xml:space="preserve"> : </w:t>
      </w:r>
    </w:p>
    <w:p w:rsidR="00B60681" w:rsidRPr="00B60681" w:rsidRDefault="006178E7" w:rsidP="00B60681">
      <w:pPr>
        <w:pStyle w:val="Paragraphedeliste"/>
        <w:numPr>
          <w:ilvl w:val="0"/>
          <w:numId w:val="18"/>
        </w:numPr>
        <w:jc w:val="both"/>
        <w:rPr>
          <w:rStyle w:val="Lienhypertexte"/>
          <w:rFonts w:ascii="Arial" w:hAnsi="Arial" w:cs="Arial"/>
          <w:color w:val="0070C0"/>
          <w:sz w:val="22"/>
          <w:szCs w:val="22"/>
        </w:rPr>
      </w:pPr>
      <w:hyperlink r:id="rId10" w:history="1">
        <w:r w:rsidR="009D781A" w:rsidRPr="003F3416">
          <w:rPr>
            <w:rStyle w:val="Lienhypertexte"/>
            <w:rFonts w:ascii="Arial" w:hAnsi="Arial" w:cs="Arial"/>
            <w:sz w:val="22"/>
            <w:szCs w:val="22"/>
          </w:rPr>
          <w:t>ars-oc-dsp-crises-sanitaires@ars.sante.fr</w:t>
        </w:r>
      </w:hyperlink>
    </w:p>
    <w:p w:rsidR="00B60681" w:rsidRPr="00B60681" w:rsidRDefault="006178E7" w:rsidP="00B60681">
      <w:pPr>
        <w:pStyle w:val="Paragraphedeliste"/>
        <w:numPr>
          <w:ilvl w:val="0"/>
          <w:numId w:val="18"/>
        </w:numPr>
        <w:jc w:val="both"/>
        <w:rPr>
          <w:rFonts w:ascii="Arial" w:hAnsi="Arial" w:cs="Arial"/>
          <w:color w:val="0070C0"/>
          <w:sz w:val="22"/>
          <w:szCs w:val="22"/>
          <w:u w:val="single"/>
        </w:rPr>
      </w:pPr>
      <w:hyperlink r:id="rId11" w:history="1">
        <w:r w:rsidR="00B60681" w:rsidRPr="009E1674">
          <w:rPr>
            <w:rStyle w:val="Lienhypertexte"/>
            <w:rFonts w:ascii="Arial" w:hAnsi="Arial" w:cs="Arial"/>
            <w:sz w:val="22"/>
          </w:rPr>
          <w:t>ars-oc-dosa-direction@ars.sante.fr</w:t>
        </w:r>
      </w:hyperlink>
    </w:p>
    <w:p w:rsidR="0012032B" w:rsidRPr="00AF767A" w:rsidRDefault="004716BE" w:rsidP="004716BE">
      <w:pPr>
        <w:tabs>
          <w:tab w:val="right" w:pos="9072"/>
        </w:tabs>
        <w:jc w:val="both"/>
        <w:rPr>
          <w:rFonts w:ascii="Arial" w:hAnsi="Arial" w:cs="Arial"/>
          <w:sz w:val="22"/>
        </w:rPr>
      </w:pPr>
      <w:r>
        <w:rPr>
          <w:rFonts w:ascii="Arial" w:hAnsi="Arial" w:cs="Arial"/>
          <w:sz w:val="22"/>
        </w:rPr>
        <w:tab/>
      </w:r>
    </w:p>
    <w:p w:rsidR="0012032B" w:rsidRPr="00AF767A" w:rsidRDefault="0012032B" w:rsidP="0012032B">
      <w:pPr>
        <w:jc w:val="both"/>
        <w:rPr>
          <w:rFonts w:ascii="Arial" w:hAnsi="Arial" w:cs="Arial"/>
          <w:sz w:val="22"/>
        </w:rPr>
      </w:pPr>
      <w:r w:rsidRPr="00AF767A">
        <w:rPr>
          <w:rFonts w:ascii="Arial" w:hAnsi="Arial" w:cs="Arial"/>
          <w:sz w:val="22"/>
        </w:rPr>
        <w:t xml:space="preserve">- Sous format papier à l’adresse suivante en LRAR : </w:t>
      </w:r>
    </w:p>
    <w:p w:rsidR="0012032B" w:rsidRPr="00AF767A" w:rsidRDefault="0012032B" w:rsidP="0012032B">
      <w:pPr>
        <w:jc w:val="both"/>
        <w:rPr>
          <w:rFonts w:ascii="Arial" w:hAnsi="Arial" w:cs="Arial"/>
          <w:sz w:val="22"/>
        </w:rPr>
      </w:pPr>
      <w:r w:rsidRPr="00AF767A">
        <w:rPr>
          <w:rFonts w:ascii="Arial" w:hAnsi="Arial" w:cs="Arial"/>
          <w:sz w:val="22"/>
        </w:rPr>
        <w:t>ARS Occitanie, 26-28 Parc-Club du Millénaire</w:t>
      </w:r>
    </w:p>
    <w:p w:rsidR="0012032B" w:rsidRPr="00AF767A" w:rsidRDefault="0012032B" w:rsidP="0012032B">
      <w:pPr>
        <w:jc w:val="both"/>
        <w:rPr>
          <w:rFonts w:ascii="Arial" w:hAnsi="Arial" w:cs="Arial"/>
          <w:sz w:val="22"/>
        </w:rPr>
      </w:pPr>
      <w:r w:rsidRPr="00AF767A">
        <w:rPr>
          <w:rFonts w:ascii="Arial" w:hAnsi="Arial" w:cs="Arial"/>
          <w:sz w:val="22"/>
        </w:rPr>
        <w:t>1025, rue Henri Becquerel - CS 30001</w:t>
      </w:r>
    </w:p>
    <w:p w:rsidR="0012032B" w:rsidRPr="00AF767A" w:rsidRDefault="0012032B" w:rsidP="0012032B">
      <w:pPr>
        <w:jc w:val="both"/>
        <w:rPr>
          <w:rFonts w:ascii="Arial" w:hAnsi="Arial" w:cs="Arial"/>
          <w:sz w:val="22"/>
        </w:rPr>
      </w:pPr>
      <w:r w:rsidRPr="00AF767A">
        <w:rPr>
          <w:rFonts w:ascii="Arial" w:hAnsi="Arial" w:cs="Arial"/>
          <w:sz w:val="22"/>
        </w:rPr>
        <w:t>34067 MONTPELLIER CEDEX 2</w:t>
      </w:r>
    </w:p>
    <w:p w:rsidR="0012032B" w:rsidRPr="002037A3" w:rsidRDefault="0012032B" w:rsidP="0012032B">
      <w:pPr>
        <w:jc w:val="both"/>
        <w:rPr>
          <w:rFonts w:ascii="Arial" w:hAnsi="Arial" w:cs="Arial"/>
          <w:strike/>
          <w:sz w:val="22"/>
        </w:rPr>
      </w:pPr>
    </w:p>
    <w:p w:rsidR="0012032B" w:rsidRDefault="0012032B" w:rsidP="0012032B">
      <w:pPr>
        <w:jc w:val="both"/>
        <w:rPr>
          <w:rFonts w:ascii="Arial" w:hAnsi="Arial" w:cs="Arial"/>
          <w:sz w:val="22"/>
        </w:rPr>
      </w:pPr>
    </w:p>
    <w:p w:rsidR="0012032B" w:rsidRDefault="0012032B" w:rsidP="00C579EC">
      <w:pPr>
        <w:jc w:val="both"/>
        <w:rPr>
          <w:rFonts w:ascii="Arial" w:hAnsi="Arial" w:cs="Arial"/>
          <w:sz w:val="22"/>
        </w:rPr>
      </w:pPr>
    </w:p>
    <w:sectPr w:rsidR="0012032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8E7" w:rsidRDefault="006178E7" w:rsidP="00921383">
      <w:r>
        <w:separator/>
      </w:r>
    </w:p>
  </w:endnote>
  <w:endnote w:type="continuationSeparator" w:id="0">
    <w:p w:rsidR="006178E7" w:rsidRDefault="006178E7" w:rsidP="0092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2B" w:rsidRPr="00EC6B8C" w:rsidRDefault="0012032B" w:rsidP="0012032B">
    <w:pPr>
      <w:tabs>
        <w:tab w:val="left" w:pos="4500"/>
      </w:tabs>
      <w:ind w:left="-426"/>
      <w:rPr>
        <w:rFonts w:asciiTheme="minorHAnsi" w:hAnsiTheme="minorHAnsi"/>
        <w:b/>
        <w:bCs/>
        <w:noProof/>
        <w:color w:val="002395"/>
      </w:rPr>
    </w:pPr>
    <w:r>
      <w:rPr>
        <w:rFonts w:asciiTheme="minorHAnsi" w:hAnsiTheme="minorHAnsi"/>
        <w:bCs/>
        <w:noProof/>
        <w:color w:val="002395"/>
        <w:sz w:val="18"/>
        <w:szCs w:val="18"/>
      </w:rPr>
      <mc:AlternateContent>
        <mc:Choice Requires="wps">
          <w:drawing>
            <wp:anchor distT="0" distB="0" distL="114300" distR="114300" simplePos="0" relativeHeight="251659264" behindDoc="0" locked="0" layoutInCell="1" allowOverlap="1" wp14:anchorId="7FB7B960" wp14:editId="464FA617">
              <wp:simplePos x="0" y="0"/>
              <wp:positionH relativeFrom="column">
                <wp:posOffset>-1677670</wp:posOffset>
              </wp:positionH>
              <wp:positionV relativeFrom="paragraph">
                <wp:posOffset>121285</wp:posOffset>
              </wp:positionV>
              <wp:extent cx="318770" cy="0"/>
              <wp:effectExtent l="17780" t="16510" r="15875" b="1206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pt,9.55pt" to="-10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" strokecolor="navy" strokeweight="1.5pt"/>
          </w:pict>
        </mc:Fallback>
      </mc:AlternateContent>
    </w:r>
    <w:r w:rsidRPr="00EC6B8C">
      <w:rPr>
        <w:rFonts w:asciiTheme="minorHAnsi" w:hAnsiTheme="minorHAnsi"/>
        <w:b/>
        <w:bCs/>
        <w:noProof/>
        <w:color w:val="002395"/>
      </w:rPr>
      <w:t xml:space="preserve">Agence Régionale de Santé </w:t>
    </w:r>
    <w:r>
      <w:rPr>
        <w:rFonts w:asciiTheme="minorHAnsi" w:hAnsiTheme="minorHAnsi"/>
        <w:b/>
        <w:bCs/>
        <w:noProof/>
        <w:color w:val="002395"/>
      </w:rPr>
      <w:t>Occitanie</w:t>
    </w:r>
  </w:p>
  <w:p w:rsidR="0012032B" w:rsidRPr="00EC6B8C" w:rsidRDefault="0012032B" w:rsidP="0012032B">
    <w:pPr>
      <w:tabs>
        <w:tab w:val="left" w:pos="4500"/>
      </w:tabs>
      <w:ind w:left="-426"/>
      <w:rPr>
        <w:rFonts w:asciiTheme="minorHAnsi" w:hAnsiTheme="minorHAnsi"/>
        <w:bCs/>
        <w:noProof/>
        <w:color w:val="002395"/>
        <w:sz w:val="18"/>
        <w:szCs w:val="18"/>
      </w:rPr>
    </w:pPr>
    <w:r>
      <w:rPr>
        <w:rFonts w:asciiTheme="minorHAnsi" w:hAnsiTheme="minorHAnsi"/>
        <w:bCs/>
        <w:noProof/>
        <w:color w:val="002395"/>
        <w:sz w:val="18"/>
        <w:szCs w:val="18"/>
      </w:rPr>
      <w:t>26-28 Parc-Club du Millénaire</w:t>
    </w:r>
  </w:p>
  <w:p w:rsidR="0012032B" w:rsidRPr="00EC6B8C" w:rsidRDefault="0012032B" w:rsidP="0012032B">
    <w:pPr>
      <w:tabs>
        <w:tab w:val="left" w:pos="4500"/>
      </w:tabs>
      <w:ind w:left="-426"/>
      <w:rPr>
        <w:rFonts w:asciiTheme="minorHAnsi" w:hAnsiTheme="minorHAnsi"/>
        <w:bCs/>
        <w:noProof/>
        <w:color w:val="002395"/>
        <w:sz w:val="18"/>
        <w:szCs w:val="18"/>
      </w:rPr>
    </w:pPr>
    <w:r>
      <w:rPr>
        <w:rFonts w:asciiTheme="minorHAnsi" w:hAnsiTheme="minorHAnsi"/>
        <w:bCs/>
        <w:noProof/>
        <w:color w:val="002395"/>
        <w:sz w:val="18"/>
        <w:szCs w:val="18"/>
      </w:rPr>
      <w:t>1025, rue Henri Becquerel - CS 30001</w:t>
    </w:r>
  </w:p>
  <w:p w:rsidR="0012032B" w:rsidRPr="00CD54A0" w:rsidRDefault="0012032B" w:rsidP="0012032B">
    <w:pPr>
      <w:tabs>
        <w:tab w:val="left" w:pos="4500"/>
      </w:tabs>
      <w:ind w:left="-426"/>
      <w:rPr>
        <w:rFonts w:asciiTheme="minorHAnsi" w:hAnsiTheme="minorHAnsi"/>
        <w:color w:val="002395"/>
      </w:rPr>
    </w:pPr>
    <w:r>
      <w:rPr>
        <w:rFonts w:asciiTheme="minorHAnsi" w:hAnsiTheme="minorHAnsi"/>
        <w:bCs/>
        <w:noProof/>
        <w:color w:val="002395"/>
        <w:sz w:val="18"/>
        <w:szCs w:val="18"/>
      </w:rPr>
      <w:t>34067 MONTPELLIER CEDEX 2 - Tél : 04 67 07 20 07</w:t>
    </w:r>
    <w:r w:rsidRPr="00CD54A0">
      <w:rPr>
        <w:rFonts w:asciiTheme="minorHAnsi" w:hAnsiTheme="minorHAnsi"/>
        <w:color w:val="002395"/>
      </w:rPr>
      <w:tab/>
    </w:r>
  </w:p>
  <w:p w:rsidR="0012032B" w:rsidRPr="00FF59A4" w:rsidRDefault="0012032B" w:rsidP="0012032B">
    <w:pPr>
      <w:tabs>
        <w:tab w:val="left" w:pos="4500"/>
      </w:tabs>
      <w:ind w:left="-426"/>
      <w:rPr>
        <w:rFonts w:asciiTheme="minorHAnsi" w:hAnsiTheme="minorHAnsi"/>
        <w:b/>
        <w:color w:val="002395"/>
        <w:sz w:val="12"/>
        <w:szCs w:val="12"/>
      </w:rPr>
    </w:pPr>
    <w:r>
      <w:rPr>
        <w:rFonts w:asciiTheme="minorHAnsi" w:hAnsiTheme="minorHAnsi"/>
        <w:b/>
        <w:noProof/>
        <w:color w:val="002395"/>
        <w:sz w:val="12"/>
        <w:szCs w:val="12"/>
      </w:rPr>
      <mc:AlternateContent>
        <mc:Choice Requires="wps">
          <w:drawing>
            <wp:anchor distT="0" distB="0" distL="114300" distR="114300" simplePos="0" relativeHeight="251661312" behindDoc="0" locked="0" layoutInCell="1" allowOverlap="1" wp14:anchorId="78A390C0" wp14:editId="35F51222">
              <wp:simplePos x="0" y="0"/>
              <wp:positionH relativeFrom="column">
                <wp:posOffset>-1622425</wp:posOffset>
              </wp:positionH>
              <wp:positionV relativeFrom="paragraph">
                <wp:posOffset>7620</wp:posOffset>
              </wp:positionV>
              <wp:extent cx="263525" cy="0"/>
              <wp:effectExtent l="15875" t="17145" r="15875" b="1143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E31F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6pt" to="-1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" strokecolor="#e31f21" strokeweight="1.5pt"/>
          </w:pict>
        </mc:Fallback>
      </mc:AlternateContent>
    </w:r>
  </w:p>
  <w:p w:rsidR="0012032B" w:rsidRPr="00CD54A0" w:rsidRDefault="0012032B" w:rsidP="0012032B">
    <w:pPr>
      <w:tabs>
        <w:tab w:val="left" w:pos="4500"/>
      </w:tabs>
      <w:ind w:left="-426"/>
      <w:rPr>
        <w:rFonts w:asciiTheme="minorHAnsi" w:hAnsiTheme="minorHAnsi"/>
        <w:color w:val="002395"/>
        <w:sz w:val="16"/>
        <w:szCs w:val="16"/>
      </w:rPr>
    </w:pPr>
    <w:r>
      <w:rPr>
        <w:rFonts w:asciiTheme="minorHAnsi" w:hAnsiTheme="minorHAnsi"/>
        <w:b/>
        <w:bCs/>
        <w:noProof/>
        <w:color w:val="95C11F"/>
      </w:rPr>
      <mc:AlternateContent>
        <mc:Choice Requires="wps">
          <w:drawing>
            <wp:anchor distT="0" distB="0" distL="114300" distR="114300" simplePos="0" relativeHeight="251660288" behindDoc="0" locked="0" layoutInCell="1" allowOverlap="1" wp14:anchorId="15C569E9" wp14:editId="517CD507">
              <wp:simplePos x="0" y="0"/>
              <wp:positionH relativeFrom="column">
                <wp:posOffset>-1622425</wp:posOffset>
              </wp:positionH>
              <wp:positionV relativeFrom="paragraph">
                <wp:posOffset>83820</wp:posOffset>
              </wp:positionV>
              <wp:extent cx="263525" cy="0"/>
              <wp:effectExtent l="15875" t="17145" r="15875" b="1143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6.6pt" to="-1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UaFQIAACkEAAAOAAAAZHJzL2Uyb0RvYy54bWysU02P2jAQvVfqf7B8h3wsUI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" strokecolor="#9c0" strokeweight="1.5pt"/>
          </w:pict>
        </mc:Fallback>
      </mc:AlternateContent>
    </w:r>
    <w:r w:rsidRPr="00CD54A0">
      <w:rPr>
        <w:rFonts w:asciiTheme="minorHAnsi" w:hAnsiTheme="minorHAnsi"/>
        <w:b/>
        <w:bCs/>
        <w:noProof/>
        <w:color w:val="95C11F"/>
      </w:rPr>
      <w:t>www.ars.</w:t>
    </w:r>
    <w:r>
      <w:rPr>
        <w:rFonts w:asciiTheme="minorHAnsi" w:hAnsiTheme="minorHAnsi"/>
        <w:b/>
        <w:bCs/>
        <w:noProof/>
        <w:color w:val="95C11F"/>
      </w:rPr>
      <w:t>occitanie</w:t>
    </w:r>
    <w:r w:rsidRPr="00CD54A0">
      <w:rPr>
        <w:rFonts w:asciiTheme="minorHAnsi" w:hAnsiTheme="minorHAnsi"/>
        <w:b/>
        <w:bCs/>
        <w:noProof/>
        <w:color w:val="95C11F"/>
      </w:rPr>
      <w:t>.sante.fr</w:t>
    </w:r>
  </w:p>
  <w:p w:rsidR="0012032B" w:rsidRDefault="0012032B">
    <w:pPr>
      <w:pStyle w:val="Pieddepage"/>
    </w:pPr>
  </w:p>
  <w:p w:rsidR="0012032B" w:rsidRDefault="001203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8E7" w:rsidRDefault="006178E7" w:rsidP="00921383">
      <w:r>
        <w:separator/>
      </w:r>
    </w:p>
  </w:footnote>
  <w:footnote w:type="continuationSeparator" w:id="0">
    <w:p w:rsidR="006178E7" w:rsidRDefault="006178E7" w:rsidP="00921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67A2"/>
    <w:multiLevelType w:val="hybridMultilevel"/>
    <w:tmpl w:val="ABA445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6169F1"/>
    <w:multiLevelType w:val="hybridMultilevel"/>
    <w:tmpl w:val="1666AD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764965"/>
    <w:multiLevelType w:val="hybridMultilevel"/>
    <w:tmpl w:val="751050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51A3624"/>
    <w:multiLevelType w:val="hybridMultilevel"/>
    <w:tmpl w:val="C3F0616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FD57340"/>
    <w:multiLevelType w:val="hybridMultilevel"/>
    <w:tmpl w:val="571AE228"/>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9A539B"/>
    <w:multiLevelType w:val="hybridMultilevel"/>
    <w:tmpl w:val="0EC287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292B71"/>
    <w:multiLevelType w:val="hybridMultilevel"/>
    <w:tmpl w:val="9A005C4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9343C0B"/>
    <w:multiLevelType w:val="hybridMultilevel"/>
    <w:tmpl w:val="762270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BDD4968"/>
    <w:multiLevelType w:val="hybridMultilevel"/>
    <w:tmpl w:val="73200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984579"/>
    <w:multiLevelType w:val="hybridMultilevel"/>
    <w:tmpl w:val="81F2B5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280B27"/>
    <w:multiLevelType w:val="hybridMultilevel"/>
    <w:tmpl w:val="5442DD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E82046"/>
    <w:multiLevelType w:val="hybridMultilevel"/>
    <w:tmpl w:val="709A59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6538BF"/>
    <w:multiLevelType w:val="hybridMultilevel"/>
    <w:tmpl w:val="6090E942"/>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3F32A8"/>
    <w:multiLevelType w:val="hybridMultilevel"/>
    <w:tmpl w:val="0C8A903E"/>
    <w:lvl w:ilvl="0" w:tplc="ABA206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642061"/>
    <w:multiLevelType w:val="hybridMultilevel"/>
    <w:tmpl w:val="3176F496"/>
    <w:lvl w:ilvl="0" w:tplc="A70C01E8">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749423E0"/>
    <w:multiLevelType w:val="hybridMultilevel"/>
    <w:tmpl w:val="CA76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4F3915"/>
    <w:multiLevelType w:val="hybridMultilevel"/>
    <w:tmpl w:val="81424D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0"/>
  </w:num>
  <w:num w:numId="3">
    <w:abstractNumId w:val="16"/>
  </w:num>
  <w:num w:numId="4">
    <w:abstractNumId w:val="3"/>
  </w:num>
  <w:num w:numId="5">
    <w:abstractNumId w:val="5"/>
  </w:num>
  <w:num w:numId="6">
    <w:abstractNumId w:val="11"/>
  </w:num>
  <w:num w:numId="7">
    <w:abstractNumId w:val="7"/>
  </w:num>
  <w:num w:numId="8">
    <w:abstractNumId w:val="12"/>
  </w:num>
  <w:num w:numId="9">
    <w:abstractNumId w:val="13"/>
  </w:num>
  <w:num w:numId="10">
    <w:abstractNumId w:val="9"/>
  </w:num>
  <w:num w:numId="11">
    <w:abstractNumId w:val="4"/>
  </w:num>
  <w:num w:numId="12">
    <w:abstractNumId w:val="6"/>
  </w:num>
  <w:num w:numId="13">
    <w:abstractNumId w:val="14"/>
  </w:num>
  <w:num w:numId="14">
    <w:abstractNumId w:val="2"/>
  </w:num>
  <w:num w:numId="15">
    <w:abstractNumId w:val="2"/>
  </w:num>
  <w:num w:numId="16">
    <w:abstractNumId w:val="15"/>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83"/>
    <w:rsid w:val="00012789"/>
    <w:rsid w:val="0003256B"/>
    <w:rsid w:val="00074098"/>
    <w:rsid w:val="000770CD"/>
    <w:rsid w:val="001141A6"/>
    <w:rsid w:val="0011649D"/>
    <w:rsid w:val="0012032B"/>
    <w:rsid w:val="001503E6"/>
    <w:rsid w:val="0017287C"/>
    <w:rsid w:val="002037A3"/>
    <w:rsid w:val="00220CBC"/>
    <w:rsid w:val="00236CE3"/>
    <w:rsid w:val="00277A50"/>
    <w:rsid w:val="00280351"/>
    <w:rsid w:val="002A2C80"/>
    <w:rsid w:val="002C1FAB"/>
    <w:rsid w:val="00313FE4"/>
    <w:rsid w:val="0031411B"/>
    <w:rsid w:val="00321B43"/>
    <w:rsid w:val="00373E2A"/>
    <w:rsid w:val="00392E5D"/>
    <w:rsid w:val="003B2F53"/>
    <w:rsid w:val="003D7419"/>
    <w:rsid w:val="003E245D"/>
    <w:rsid w:val="003F099C"/>
    <w:rsid w:val="004716BE"/>
    <w:rsid w:val="004B231B"/>
    <w:rsid w:val="004D4D9B"/>
    <w:rsid w:val="004F2355"/>
    <w:rsid w:val="005051C6"/>
    <w:rsid w:val="00561CB4"/>
    <w:rsid w:val="0058593C"/>
    <w:rsid w:val="005C1603"/>
    <w:rsid w:val="005F53B7"/>
    <w:rsid w:val="006178E7"/>
    <w:rsid w:val="00706EDF"/>
    <w:rsid w:val="00735ECD"/>
    <w:rsid w:val="007C278D"/>
    <w:rsid w:val="00823661"/>
    <w:rsid w:val="008522CE"/>
    <w:rsid w:val="00921383"/>
    <w:rsid w:val="00925C9D"/>
    <w:rsid w:val="0099128C"/>
    <w:rsid w:val="00994D0D"/>
    <w:rsid w:val="009C0774"/>
    <w:rsid w:val="009D781A"/>
    <w:rsid w:val="009E6409"/>
    <w:rsid w:val="00A374BD"/>
    <w:rsid w:val="00A65189"/>
    <w:rsid w:val="00A72590"/>
    <w:rsid w:val="00AB66A0"/>
    <w:rsid w:val="00AE760B"/>
    <w:rsid w:val="00AF62F2"/>
    <w:rsid w:val="00AF767A"/>
    <w:rsid w:val="00B25CA9"/>
    <w:rsid w:val="00B5389C"/>
    <w:rsid w:val="00B60681"/>
    <w:rsid w:val="00B8121A"/>
    <w:rsid w:val="00B878A4"/>
    <w:rsid w:val="00B91D54"/>
    <w:rsid w:val="00BC3758"/>
    <w:rsid w:val="00C14878"/>
    <w:rsid w:val="00C15225"/>
    <w:rsid w:val="00C262E6"/>
    <w:rsid w:val="00C37041"/>
    <w:rsid w:val="00C579EC"/>
    <w:rsid w:val="00C9026B"/>
    <w:rsid w:val="00CC4237"/>
    <w:rsid w:val="00CD543C"/>
    <w:rsid w:val="00D1480B"/>
    <w:rsid w:val="00D63AD7"/>
    <w:rsid w:val="00D8606D"/>
    <w:rsid w:val="00D86539"/>
    <w:rsid w:val="00E20FE9"/>
    <w:rsid w:val="00E431A5"/>
    <w:rsid w:val="00E44016"/>
    <w:rsid w:val="00E52DBE"/>
    <w:rsid w:val="00E80F5C"/>
    <w:rsid w:val="00E8256C"/>
    <w:rsid w:val="00EB134E"/>
    <w:rsid w:val="00F10894"/>
    <w:rsid w:val="00F45975"/>
    <w:rsid w:val="00FC6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383"/>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9213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579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1383"/>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921383"/>
    <w:rPr>
      <w:color w:val="0000FF" w:themeColor="hyperlink"/>
      <w:u w:val="single"/>
    </w:rPr>
  </w:style>
  <w:style w:type="paragraph" w:styleId="Notedebasdepage">
    <w:name w:val="footnote text"/>
    <w:basedOn w:val="Normal"/>
    <w:link w:val="NotedebasdepageCar"/>
    <w:uiPriority w:val="99"/>
    <w:semiHidden/>
    <w:unhideWhenUsed/>
    <w:rsid w:val="00921383"/>
  </w:style>
  <w:style w:type="character" w:customStyle="1" w:styleId="NotedebasdepageCar">
    <w:name w:val="Note de bas de page Car"/>
    <w:basedOn w:val="Policepardfaut"/>
    <w:link w:val="Notedebasdepage"/>
    <w:uiPriority w:val="99"/>
    <w:semiHidden/>
    <w:rsid w:val="00921383"/>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21383"/>
    <w:rPr>
      <w:vertAlign w:val="superscript"/>
    </w:rPr>
  </w:style>
  <w:style w:type="character" w:customStyle="1" w:styleId="Titre2Car">
    <w:name w:val="Titre 2 Car"/>
    <w:basedOn w:val="Policepardfaut"/>
    <w:link w:val="Titre2"/>
    <w:uiPriority w:val="9"/>
    <w:rsid w:val="00C579EC"/>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5F53B7"/>
    <w:pPr>
      <w:ind w:left="720"/>
      <w:contextualSpacing/>
    </w:pPr>
  </w:style>
  <w:style w:type="paragraph" w:styleId="Textedebulles">
    <w:name w:val="Balloon Text"/>
    <w:basedOn w:val="Normal"/>
    <w:link w:val="TextedebullesCar"/>
    <w:uiPriority w:val="99"/>
    <w:semiHidden/>
    <w:unhideWhenUsed/>
    <w:rsid w:val="0012032B"/>
    <w:rPr>
      <w:rFonts w:ascii="Tahoma" w:hAnsi="Tahoma" w:cs="Tahoma"/>
      <w:sz w:val="16"/>
      <w:szCs w:val="16"/>
    </w:rPr>
  </w:style>
  <w:style w:type="character" w:customStyle="1" w:styleId="TextedebullesCar">
    <w:name w:val="Texte de bulles Car"/>
    <w:basedOn w:val="Policepardfaut"/>
    <w:link w:val="Textedebulles"/>
    <w:uiPriority w:val="99"/>
    <w:semiHidden/>
    <w:rsid w:val="0012032B"/>
    <w:rPr>
      <w:rFonts w:ascii="Tahoma" w:eastAsia="Times New Roman" w:hAnsi="Tahoma" w:cs="Tahoma"/>
      <w:sz w:val="16"/>
      <w:szCs w:val="16"/>
      <w:lang w:eastAsia="fr-FR"/>
    </w:rPr>
  </w:style>
  <w:style w:type="paragraph" w:styleId="En-tte">
    <w:name w:val="header"/>
    <w:basedOn w:val="Normal"/>
    <w:link w:val="En-tteCar"/>
    <w:uiPriority w:val="99"/>
    <w:unhideWhenUsed/>
    <w:rsid w:val="0012032B"/>
    <w:pPr>
      <w:tabs>
        <w:tab w:val="center" w:pos="4536"/>
        <w:tab w:val="right" w:pos="9072"/>
      </w:tabs>
    </w:pPr>
  </w:style>
  <w:style w:type="character" w:customStyle="1" w:styleId="En-tteCar">
    <w:name w:val="En-tête Car"/>
    <w:basedOn w:val="Policepardfaut"/>
    <w:link w:val="En-tte"/>
    <w:uiPriority w:val="99"/>
    <w:rsid w:val="0012032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2032B"/>
    <w:pPr>
      <w:tabs>
        <w:tab w:val="center" w:pos="4536"/>
        <w:tab w:val="right" w:pos="9072"/>
      </w:tabs>
    </w:pPr>
  </w:style>
  <w:style w:type="character" w:customStyle="1" w:styleId="PieddepageCar">
    <w:name w:val="Pied de page Car"/>
    <w:basedOn w:val="Policepardfaut"/>
    <w:link w:val="Pieddepage"/>
    <w:uiPriority w:val="99"/>
    <w:rsid w:val="0012032B"/>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383"/>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9213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579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1383"/>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921383"/>
    <w:rPr>
      <w:color w:val="0000FF" w:themeColor="hyperlink"/>
      <w:u w:val="single"/>
    </w:rPr>
  </w:style>
  <w:style w:type="paragraph" w:styleId="Notedebasdepage">
    <w:name w:val="footnote text"/>
    <w:basedOn w:val="Normal"/>
    <w:link w:val="NotedebasdepageCar"/>
    <w:uiPriority w:val="99"/>
    <w:semiHidden/>
    <w:unhideWhenUsed/>
    <w:rsid w:val="00921383"/>
  </w:style>
  <w:style w:type="character" w:customStyle="1" w:styleId="NotedebasdepageCar">
    <w:name w:val="Note de bas de page Car"/>
    <w:basedOn w:val="Policepardfaut"/>
    <w:link w:val="Notedebasdepage"/>
    <w:uiPriority w:val="99"/>
    <w:semiHidden/>
    <w:rsid w:val="00921383"/>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21383"/>
    <w:rPr>
      <w:vertAlign w:val="superscript"/>
    </w:rPr>
  </w:style>
  <w:style w:type="character" w:customStyle="1" w:styleId="Titre2Car">
    <w:name w:val="Titre 2 Car"/>
    <w:basedOn w:val="Policepardfaut"/>
    <w:link w:val="Titre2"/>
    <w:uiPriority w:val="9"/>
    <w:rsid w:val="00C579EC"/>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5F53B7"/>
    <w:pPr>
      <w:ind w:left="720"/>
      <w:contextualSpacing/>
    </w:pPr>
  </w:style>
  <w:style w:type="paragraph" w:styleId="Textedebulles">
    <w:name w:val="Balloon Text"/>
    <w:basedOn w:val="Normal"/>
    <w:link w:val="TextedebullesCar"/>
    <w:uiPriority w:val="99"/>
    <w:semiHidden/>
    <w:unhideWhenUsed/>
    <w:rsid w:val="0012032B"/>
    <w:rPr>
      <w:rFonts w:ascii="Tahoma" w:hAnsi="Tahoma" w:cs="Tahoma"/>
      <w:sz w:val="16"/>
      <w:szCs w:val="16"/>
    </w:rPr>
  </w:style>
  <w:style w:type="character" w:customStyle="1" w:styleId="TextedebullesCar">
    <w:name w:val="Texte de bulles Car"/>
    <w:basedOn w:val="Policepardfaut"/>
    <w:link w:val="Textedebulles"/>
    <w:uiPriority w:val="99"/>
    <w:semiHidden/>
    <w:rsid w:val="0012032B"/>
    <w:rPr>
      <w:rFonts w:ascii="Tahoma" w:eastAsia="Times New Roman" w:hAnsi="Tahoma" w:cs="Tahoma"/>
      <w:sz w:val="16"/>
      <w:szCs w:val="16"/>
      <w:lang w:eastAsia="fr-FR"/>
    </w:rPr>
  </w:style>
  <w:style w:type="paragraph" w:styleId="En-tte">
    <w:name w:val="header"/>
    <w:basedOn w:val="Normal"/>
    <w:link w:val="En-tteCar"/>
    <w:uiPriority w:val="99"/>
    <w:unhideWhenUsed/>
    <w:rsid w:val="0012032B"/>
    <w:pPr>
      <w:tabs>
        <w:tab w:val="center" w:pos="4536"/>
        <w:tab w:val="right" w:pos="9072"/>
      </w:tabs>
    </w:pPr>
  </w:style>
  <w:style w:type="character" w:customStyle="1" w:styleId="En-tteCar">
    <w:name w:val="En-tête Car"/>
    <w:basedOn w:val="Policepardfaut"/>
    <w:link w:val="En-tte"/>
    <w:uiPriority w:val="99"/>
    <w:rsid w:val="0012032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2032B"/>
    <w:pPr>
      <w:tabs>
        <w:tab w:val="center" w:pos="4536"/>
        <w:tab w:val="right" w:pos="9072"/>
      </w:tabs>
    </w:pPr>
  </w:style>
  <w:style w:type="character" w:customStyle="1" w:styleId="PieddepageCar">
    <w:name w:val="Pied de page Car"/>
    <w:basedOn w:val="Policepardfaut"/>
    <w:link w:val="Pieddepage"/>
    <w:uiPriority w:val="99"/>
    <w:rsid w:val="0012032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67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s-oc-dosa-direction@ars.sante.fr" TargetMode="External"/><Relationship Id="rId5" Type="http://schemas.openxmlformats.org/officeDocument/2006/relationships/webSettings" Target="webSettings.xml"/><Relationship Id="rId10" Type="http://schemas.openxmlformats.org/officeDocument/2006/relationships/hyperlink" Target="mailto:ars-oc-dsp-crises-sanitaires@ars.sant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884</Words>
  <Characters>4864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ARNAL-CAPDEVIELLE, Isabelle</dc:creator>
  <cp:lastModifiedBy>BRUGIE, Pierre</cp:lastModifiedBy>
  <cp:revision>12</cp:revision>
  <cp:lastPrinted>2020-02-19T09:07:00Z</cp:lastPrinted>
  <dcterms:created xsi:type="dcterms:W3CDTF">2020-02-19T09:04:00Z</dcterms:created>
  <dcterms:modified xsi:type="dcterms:W3CDTF">2020-03-06T09:40:00Z</dcterms:modified>
</cp:coreProperties>
</file>