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D9EC" w14:textId="77777777" w:rsidR="00AB18A5" w:rsidRPr="00956F81" w:rsidRDefault="00AB18A5" w:rsidP="00956F81">
      <w:pPr>
        <w:jc w:val="center"/>
        <w:rPr>
          <w:rFonts w:cs="Times New Roman"/>
          <w:b/>
          <w:sz w:val="20"/>
        </w:rPr>
      </w:pPr>
      <w:r w:rsidRPr="00956F81">
        <w:rPr>
          <w:rFonts w:cs="Times New Roman"/>
          <w:b/>
          <w:sz w:val="20"/>
        </w:rPr>
        <w:t>Indicateur CAQES : Perfusion à domicile</w:t>
      </w:r>
    </w:p>
    <w:p w14:paraId="0C43E923" w14:textId="77777777" w:rsidR="00956F81" w:rsidRPr="00956F81" w:rsidRDefault="00973CCD" w:rsidP="00956F81">
      <w:pPr>
        <w:jc w:val="center"/>
        <w:rPr>
          <w:rFonts w:cs="Times New Roman"/>
          <w:b/>
          <w:sz w:val="20"/>
        </w:rPr>
      </w:pPr>
      <w:r>
        <w:rPr>
          <w:rFonts w:cs="Times New Roman"/>
          <w:b/>
          <w:sz w:val="20"/>
        </w:rPr>
        <w:pict w14:anchorId="5870EAED">
          <v:rect id="_x0000_i1025" style="width:453.6pt;height:1.5pt;mso-position-horizontal:absolute" o:hralign="center" o:hrstd="t" o:hrnoshade="t" o:hr="t" fillcolor="#1f497d [3215]" stroked="f"/>
        </w:pict>
      </w:r>
    </w:p>
    <w:p w14:paraId="2453923F" w14:textId="77777777" w:rsidR="00AB18A5" w:rsidRPr="00956F81" w:rsidRDefault="00AB18A5" w:rsidP="007D472F">
      <w:pPr>
        <w:rPr>
          <w:rFonts w:cs="Times New Roman"/>
          <w:sz w:val="20"/>
        </w:rPr>
      </w:pPr>
    </w:p>
    <w:p w14:paraId="351E4D02" w14:textId="77777777" w:rsidR="00990633" w:rsidRPr="00956F81" w:rsidRDefault="00AB18A5" w:rsidP="00125EF5">
      <w:pPr>
        <w:pStyle w:val="Paragraphedeliste"/>
        <w:numPr>
          <w:ilvl w:val="0"/>
          <w:numId w:val="1"/>
        </w:numPr>
        <w:jc w:val="both"/>
        <w:rPr>
          <w:rFonts w:cs="Times New Roman"/>
          <w:b/>
          <w:sz w:val="20"/>
        </w:rPr>
      </w:pPr>
      <w:r w:rsidRPr="00956F81">
        <w:rPr>
          <w:rFonts w:cs="Times New Roman"/>
          <w:b/>
          <w:sz w:val="20"/>
        </w:rPr>
        <w:t xml:space="preserve">Contexte : </w:t>
      </w:r>
    </w:p>
    <w:p w14:paraId="667D2290" w14:textId="77777777" w:rsidR="00AB18A5" w:rsidRPr="00956F81" w:rsidRDefault="00AB18A5">
      <w:pPr>
        <w:jc w:val="both"/>
        <w:rPr>
          <w:rFonts w:cs="Times New Roman"/>
          <w:sz w:val="20"/>
        </w:rPr>
      </w:pPr>
      <w:r w:rsidRPr="00956F81">
        <w:rPr>
          <w:rFonts w:cs="Times New Roman"/>
          <w:sz w:val="20"/>
        </w:rPr>
        <w:t xml:space="preserve">Après trois années de quasi-stabilité de la dépense remboursée sur le secteur de la perfusion à domicile </w:t>
      </w:r>
      <w:r w:rsidR="0013688C" w:rsidRPr="00956F81">
        <w:rPr>
          <w:rFonts w:cs="Times New Roman"/>
          <w:sz w:val="20"/>
        </w:rPr>
        <w:t>de 2013 à 2015 (</w:t>
      </w:r>
      <w:r w:rsidR="00C87B39" w:rsidRPr="00956F81">
        <w:rPr>
          <w:rFonts w:cs="Times New Roman"/>
          <w:sz w:val="20"/>
        </w:rPr>
        <w:t>environ 256 M</w:t>
      </w:r>
      <w:r w:rsidR="007B3FF3" w:rsidRPr="00956F81">
        <w:rPr>
          <w:rFonts w:cs="Times New Roman"/>
          <w:sz w:val="20"/>
        </w:rPr>
        <w:t>€)</w:t>
      </w:r>
      <w:r w:rsidR="00C87B39" w:rsidRPr="00956F81">
        <w:rPr>
          <w:rFonts w:cs="Times New Roman"/>
          <w:sz w:val="20"/>
        </w:rPr>
        <w:t>, la dépense a fortement progressé entre 2015 et 2018</w:t>
      </w:r>
      <w:r w:rsidR="0013688C" w:rsidRPr="00956F81">
        <w:rPr>
          <w:rFonts w:cs="Times New Roman"/>
          <w:sz w:val="20"/>
        </w:rPr>
        <w:t>. L</w:t>
      </w:r>
      <w:r w:rsidR="00C87B39" w:rsidRPr="00956F81">
        <w:rPr>
          <w:rFonts w:cs="Times New Roman"/>
          <w:sz w:val="20"/>
        </w:rPr>
        <w:t>es taux de progression de la dépense</w:t>
      </w:r>
      <w:r w:rsidR="0013688C" w:rsidRPr="00956F81">
        <w:rPr>
          <w:rFonts w:cs="Times New Roman"/>
          <w:sz w:val="20"/>
        </w:rPr>
        <w:t xml:space="preserve"> sont</w:t>
      </w:r>
      <w:r w:rsidR="00C87B39" w:rsidRPr="00956F81">
        <w:rPr>
          <w:rFonts w:cs="Times New Roman"/>
          <w:sz w:val="20"/>
        </w:rPr>
        <w:t xml:space="preserve"> </w:t>
      </w:r>
      <w:r w:rsidR="008B1D9E" w:rsidRPr="00956F81">
        <w:rPr>
          <w:rFonts w:cs="Times New Roman"/>
          <w:sz w:val="20"/>
        </w:rPr>
        <w:t>de l’ordre de</w:t>
      </w:r>
      <w:r w:rsidR="00C87B39" w:rsidRPr="00956F81">
        <w:rPr>
          <w:rFonts w:cs="Times New Roman"/>
          <w:sz w:val="20"/>
        </w:rPr>
        <w:t xml:space="preserve"> 9</w:t>
      </w:r>
      <w:r w:rsidR="008B1D9E" w:rsidRPr="00956F81">
        <w:rPr>
          <w:rFonts w:cs="Times New Roman"/>
          <w:sz w:val="20"/>
        </w:rPr>
        <w:t xml:space="preserve"> à </w:t>
      </w:r>
      <w:r w:rsidR="00C87B39" w:rsidRPr="00956F81">
        <w:rPr>
          <w:rFonts w:cs="Times New Roman"/>
          <w:sz w:val="20"/>
        </w:rPr>
        <w:t>10 % par an</w:t>
      </w:r>
      <w:r w:rsidR="008B1D9E" w:rsidRPr="00956F81">
        <w:rPr>
          <w:rFonts w:cs="Times New Roman"/>
          <w:sz w:val="20"/>
        </w:rPr>
        <w:t xml:space="preserve">. De tels taux de progression ne peuvent </w:t>
      </w:r>
      <w:proofErr w:type="gramStart"/>
      <w:r w:rsidR="008B1D9E" w:rsidRPr="00956F81">
        <w:rPr>
          <w:rFonts w:cs="Times New Roman"/>
          <w:sz w:val="20"/>
        </w:rPr>
        <w:t>pas</w:t>
      </w:r>
      <w:r w:rsidR="00C87B39" w:rsidRPr="00956F81">
        <w:rPr>
          <w:rFonts w:cs="Times New Roman"/>
          <w:sz w:val="20"/>
        </w:rPr>
        <w:t xml:space="preserve">  </w:t>
      </w:r>
      <w:r w:rsidR="008B1D9E" w:rsidRPr="00956F81">
        <w:rPr>
          <w:rFonts w:cs="Times New Roman"/>
          <w:sz w:val="20"/>
        </w:rPr>
        <w:t>uniquement</w:t>
      </w:r>
      <w:proofErr w:type="gramEnd"/>
      <w:r w:rsidR="008B1D9E" w:rsidRPr="00956F81">
        <w:rPr>
          <w:rFonts w:cs="Times New Roman"/>
          <w:sz w:val="20"/>
        </w:rPr>
        <w:t xml:space="preserve"> être expliqués </w:t>
      </w:r>
      <w:r w:rsidR="00C87B39" w:rsidRPr="00956F81">
        <w:rPr>
          <w:rFonts w:cs="Times New Roman"/>
          <w:sz w:val="20"/>
        </w:rPr>
        <w:t>par la seule progression du nombre de patients traités.</w:t>
      </w:r>
      <w:r w:rsidR="00536FEF" w:rsidRPr="00956F81">
        <w:rPr>
          <w:rFonts w:cs="Times New Roman"/>
          <w:sz w:val="20"/>
        </w:rPr>
        <w:t xml:space="preserve"> </w:t>
      </w:r>
    </w:p>
    <w:p w14:paraId="69A3CA2C" w14:textId="77777777" w:rsidR="008B1D9E" w:rsidRPr="00956F81" w:rsidRDefault="008B1D9E">
      <w:pPr>
        <w:jc w:val="both"/>
        <w:rPr>
          <w:rFonts w:cs="Times New Roman"/>
          <w:sz w:val="20"/>
        </w:rPr>
      </w:pPr>
      <w:r w:rsidRPr="00956F81">
        <w:rPr>
          <w:rFonts w:cs="Times New Roman"/>
          <w:sz w:val="20"/>
        </w:rPr>
        <w:t>Il existe trois grandes modalités de perfusion prise en charge dans la nomenclature LPP relative à la perfusion à domicile (PERFADOM) : par gravité, par diffuseur ou par système actifs (comprenant notamment les pousses seringues électriques ou les pompes). Dans de nombreux cas, le choix du mode de perfusion n’est pas précisé et laissé au choix du prescripteur/ infirmier.</w:t>
      </w:r>
    </w:p>
    <w:p w14:paraId="4B8FEE59" w14:textId="77777777" w:rsidR="008B1D9E" w:rsidRPr="00956F81" w:rsidRDefault="008B1D9E">
      <w:pPr>
        <w:jc w:val="both"/>
        <w:rPr>
          <w:rFonts w:cs="Times New Roman"/>
          <w:sz w:val="20"/>
        </w:rPr>
      </w:pPr>
      <w:r w:rsidRPr="00956F81">
        <w:rPr>
          <w:rFonts w:cs="Times New Roman"/>
          <w:sz w:val="20"/>
        </w:rPr>
        <w:t xml:space="preserve">Les coûts associés à chacun de ces </w:t>
      </w:r>
      <w:r w:rsidR="00B622C8" w:rsidRPr="00956F81">
        <w:rPr>
          <w:rFonts w:cs="Times New Roman"/>
          <w:sz w:val="20"/>
        </w:rPr>
        <w:t xml:space="preserve">trois </w:t>
      </w:r>
      <w:r w:rsidRPr="00956F81">
        <w:rPr>
          <w:rFonts w:cs="Times New Roman"/>
          <w:sz w:val="20"/>
        </w:rPr>
        <w:t xml:space="preserve">modes de perfusion sont </w:t>
      </w:r>
      <w:r w:rsidR="00B622C8" w:rsidRPr="00956F81">
        <w:rPr>
          <w:rFonts w:cs="Times New Roman"/>
          <w:sz w:val="20"/>
        </w:rPr>
        <w:t>très variables</w:t>
      </w:r>
      <w:r w:rsidR="004D62B2" w:rsidRPr="00956F81">
        <w:rPr>
          <w:rFonts w:cs="Times New Roman"/>
          <w:sz w:val="20"/>
        </w:rPr>
        <w:t xml:space="preserve"> (facteur 5)</w:t>
      </w:r>
      <w:r w:rsidR="00B622C8" w:rsidRPr="00956F81">
        <w:rPr>
          <w:rFonts w:cs="Times New Roman"/>
          <w:sz w:val="20"/>
        </w:rPr>
        <w:t xml:space="preserve">. Dans ce cadre, </w:t>
      </w:r>
      <w:r w:rsidR="00A22150" w:rsidRPr="00956F81">
        <w:rPr>
          <w:rFonts w:cs="Times New Roman"/>
          <w:sz w:val="20"/>
        </w:rPr>
        <w:t>il convient de favoriser les prescriptions les plus efficientes au regard des situations médicales des patients concernés.</w:t>
      </w:r>
    </w:p>
    <w:p w14:paraId="6BB7A98A" w14:textId="77777777" w:rsidR="00C12481" w:rsidRPr="00956F81" w:rsidRDefault="00C12481">
      <w:pPr>
        <w:jc w:val="center"/>
        <w:rPr>
          <w:rFonts w:cs="Times New Roman"/>
          <w:sz w:val="20"/>
        </w:rPr>
      </w:pPr>
      <w:r w:rsidRPr="00956F81">
        <w:rPr>
          <w:rFonts w:cs="Times New Roman"/>
          <w:noProof/>
          <w:sz w:val="20"/>
          <w:lang w:eastAsia="fr-FR"/>
        </w:rPr>
        <w:drawing>
          <wp:inline distT="0" distB="0" distL="0" distR="0" wp14:anchorId="7EF170CB" wp14:editId="0F810EC4">
            <wp:extent cx="5762445" cy="1802921"/>
            <wp:effectExtent l="0" t="0" r="10160" b="260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FF011D5" w14:textId="77777777" w:rsidR="00990633" w:rsidRPr="00956F81" w:rsidRDefault="00536FEF" w:rsidP="00125EF5">
      <w:pPr>
        <w:pStyle w:val="Paragraphedeliste"/>
        <w:numPr>
          <w:ilvl w:val="0"/>
          <w:numId w:val="1"/>
        </w:numPr>
        <w:jc w:val="both"/>
        <w:rPr>
          <w:rFonts w:cs="Times New Roman"/>
          <w:b/>
          <w:sz w:val="20"/>
        </w:rPr>
      </w:pPr>
      <w:r w:rsidRPr="00956F81">
        <w:rPr>
          <w:rFonts w:cs="Times New Roman"/>
          <w:b/>
          <w:sz w:val="20"/>
        </w:rPr>
        <w:t xml:space="preserve">Objectif : </w:t>
      </w:r>
    </w:p>
    <w:p w14:paraId="37E91E94" w14:textId="77777777" w:rsidR="00C87B39" w:rsidRPr="00956F81" w:rsidRDefault="00536FEF">
      <w:pPr>
        <w:jc w:val="both"/>
        <w:rPr>
          <w:rFonts w:cs="Times New Roman"/>
          <w:sz w:val="20"/>
        </w:rPr>
      </w:pPr>
      <w:r w:rsidRPr="00956F81">
        <w:rPr>
          <w:rFonts w:cs="Times New Roman"/>
          <w:sz w:val="20"/>
        </w:rPr>
        <w:t xml:space="preserve">La mise en place d’un indicateur CAQES </w:t>
      </w:r>
      <w:r w:rsidR="00A22150" w:rsidRPr="00956F81">
        <w:rPr>
          <w:rFonts w:cs="Times New Roman"/>
          <w:sz w:val="20"/>
        </w:rPr>
        <w:t xml:space="preserve">relatif aux </w:t>
      </w:r>
      <w:r w:rsidRPr="00956F81">
        <w:rPr>
          <w:rFonts w:cs="Times New Roman"/>
          <w:sz w:val="20"/>
        </w:rPr>
        <w:t>dépense</w:t>
      </w:r>
      <w:r w:rsidR="00A22150" w:rsidRPr="00956F81">
        <w:rPr>
          <w:rFonts w:cs="Times New Roman"/>
          <w:sz w:val="20"/>
        </w:rPr>
        <w:t>s</w:t>
      </w:r>
      <w:r w:rsidRPr="00956F81">
        <w:rPr>
          <w:rFonts w:cs="Times New Roman"/>
          <w:sz w:val="20"/>
        </w:rPr>
        <w:t xml:space="preserve"> de perfusion à domicile prescrit</w:t>
      </w:r>
      <w:r w:rsidR="004D62B2" w:rsidRPr="00956F81">
        <w:rPr>
          <w:rFonts w:cs="Times New Roman"/>
          <w:sz w:val="20"/>
        </w:rPr>
        <w:t>e</w:t>
      </w:r>
      <w:r w:rsidRPr="00956F81">
        <w:rPr>
          <w:rFonts w:cs="Times New Roman"/>
          <w:sz w:val="20"/>
        </w:rPr>
        <w:t xml:space="preserve"> </w:t>
      </w:r>
      <w:r w:rsidR="00A22150" w:rsidRPr="00956F81">
        <w:rPr>
          <w:rFonts w:cs="Times New Roman"/>
          <w:sz w:val="20"/>
        </w:rPr>
        <w:t>par les établissements de santé</w:t>
      </w:r>
      <w:r w:rsidRPr="00956F81">
        <w:rPr>
          <w:rFonts w:cs="Times New Roman"/>
          <w:sz w:val="20"/>
        </w:rPr>
        <w:t xml:space="preserve"> a pour but d’inciter les établissements à prescrire pour chaque patient, le </w:t>
      </w:r>
      <w:r w:rsidR="004D62B2" w:rsidRPr="00956F81">
        <w:rPr>
          <w:rFonts w:cs="Times New Roman"/>
          <w:sz w:val="20"/>
        </w:rPr>
        <w:t xml:space="preserve">type de perfusion </w:t>
      </w:r>
      <w:r w:rsidRPr="00956F81">
        <w:rPr>
          <w:rFonts w:cs="Times New Roman"/>
          <w:sz w:val="20"/>
        </w:rPr>
        <w:t xml:space="preserve">le plus efficient et donc le traitement le moins onéreux pour l’assurance maladie lorsque deux modes de </w:t>
      </w:r>
      <w:r w:rsidR="004D62B2" w:rsidRPr="00956F81">
        <w:rPr>
          <w:rFonts w:cs="Times New Roman"/>
          <w:sz w:val="20"/>
        </w:rPr>
        <w:t>perfusion</w:t>
      </w:r>
      <w:r w:rsidR="007B3FF3" w:rsidRPr="00956F81">
        <w:rPr>
          <w:rFonts w:cs="Times New Roman"/>
          <w:sz w:val="20"/>
        </w:rPr>
        <w:t xml:space="preserve"> sont équivalents pour le patient.</w:t>
      </w:r>
      <w:r w:rsidR="00E662B6" w:rsidRPr="00956F81">
        <w:rPr>
          <w:rFonts w:cs="Times New Roman"/>
          <w:sz w:val="20"/>
        </w:rPr>
        <w:t xml:space="preserve"> </w:t>
      </w:r>
      <w:r w:rsidR="004D62B2" w:rsidRPr="00956F81">
        <w:rPr>
          <w:rFonts w:cs="Times New Roman"/>
          <w:sz w:val="20"/>
        </w:rPr>
        <w:t>A</w:t>
      </w:r>
      <w:r w:rsidR="0076051B" w:rsidRPr="00956F81">
        <w:rPr>
          <w:rFonts w:cs="Times New Roman"/>
          <w:sz w:val="20"/>
        </w:rPr>
        <w:t xml:space="preserve"> efficacité et sécurité égales, il est vertueux de choisir le traitement le moins cher, c’est-à-dire la perfusion par gravité.</w:t>
      </w:r>
    </w:p>
    <w:p w14:paraId="0546D389" w14:textId="77777777" w:rsidR="00990633" w:rsidRPr="00956F81" w:rsidRDefault="00571461" w:rsidP="00125EF5">
      <w:pPr>
        <w:pStyle w:val="Paragraphedeliste"/>
        <w:numPr>
          <w:ilvl w:val="0"/>
          <w:numId w:val="1"/>
        </w:numPr>
        <w:jc w:val="both"/>
        <w:rPr>
          <w:rFonts w:cs="Times New Roman"/>
          <w:b/>
          <w:sz w:val="20"/>
        </w:rPr>
      </w:pPr>
      <w:proofErr w:type="gramStart"/>
      <w:r w:rsidRPr="00956F81">
        <w:rPr>
          <w:rFonts w:cs="Times New Roman"/>
          <w:b/>
          <w:sz w:val="20"/>
        </w:rPr>
        <w:t xml:space="preserve">Construction </w:t>
      </w:r>
      <w:r w:rsidR="00EF5994" w:rsidRPr="00956F81">
        <w:rPr>
          <w:rFonts w:cs="Times New Roman"/>
          <w:b/>
          <w:sz w:val="20"/>
        </w:rPr>
        <w:t> de</w:t>
      </w:r>
      <w:proofErr w:type="gramEnd"/>
      <w:r w:rsidR="00EF5994" w:rsidRPr="00956F81">
        <w:rPr>
          <w:rFonts w:cs="Times New Roman"/>
          <w:b/>
          <w:sz w:val="20"/>
        </w:rPr>
        <w:t xml:space="preserve"> l’indicateur</w:t>
      </w:r>
      <w:r w:rsidRPr="00956F81">
        <w:rPr>
          <w:rFonts w:cs="Times New Roman"/>
          <w:b/>
          <w:sz w:val="20"/>
        </w:rPr>
        <w:t xml:space="preserve"> avec incitation financière</w:t>
      </w:r>
      <w:r w:rsidR="00EF5994" w:rsidRPr="00956F81">
        <w:rPr>
          <w:rFonts w:cs="Times New Roman"/>
          <w:b/>
          <w:sz w:val="20"/>
        </w:rPr>
        <w:t> :</w:t>
      </w:r>
      <w:r w:rsidR="00E73210" w:rsidRPr="00956F81">
        <w:rPr>
          <w:rFonts w:cs="Times New Roman"/>
          <w:b/>
          <w:sz w:val="20"/>
        </w:rPr>
        <w:t xml:space="preserve"> </w:t>
      </w:r>
    </w:p>
    <w:p w14:paraId="092DD1FD" w14:textId="77777777" w:rsidR="003C3256" w:rsidRPr="00956F81" w:rsidRDefault="00652483">
      <w:pPr>
        <w:jc w:val="both"/>
        <w:rPr>
          <w:rFonts w:cs="Times New Roman"/>
          <w:sz w:val="20"/>
        </w:rPr>
      </w:pPr>
      <w:r w:rsidRPr="00956F81">
        <w:rPr>
          <w:rFonts w:cs="Times New Roman"/>
          <w:sz w:val="20"/>
        </w:rPr>
        <w:t>Chaque année n et p</w:t>
      </w:r>
      <w:r w:rsidR="00E73210" w:rsidRPr="00956F81">
        <w:rPr>
          <w:rFonts w:cs="Times New Roman"/>
          <w:sz w:val="20"/>
        </w:rPr>
        <w:t xml:space="preserve">our chaque établissement de santé identifié par son numéro FINESS dans le SNDS, nous comparerons </w:t>
      </w:r>
      <w:r w:rsidR="00F13E9F" w:rsidRPr="00956F81">
        <w:rPr>
          <w:rFonts w:cs="Times New Roman"/>
          <w:sz w:val="20"/>
        </w:rPr>
        <w:t>l’évolution des dépenses</w:t>
      </w:r>
      <w:r w:rsidR="003C3256" w:rsidRPr="00956F81">
        <w:rPr>
          <w:rFonts w:cs="Times New Roman"/>
          <w:sz w:val="20"/>
        </w:rPr>
        <w:t>,</w:t>
      </w:r>
      <w:r w:rsidR="00F13E9F" w:rsidRPr="00956F81">
        <w:rPr>
          <w:rFonts w:cs="Times New Roman"/>
          <w:sz w:val="20"/>
        </w:rPr>
        <w:t xml:space="preserve"> entre </w:t>
      </w:r>
      <w:r w:rsidRPr="00956F81">
        <w:rPr>
          <w:rFonts w:cs="Times New Roman"/>
          <w:sz w:val="20"/>
        </w:rPr>
        <w:t>les années n</w:t>
      </w:r>
      <w:r w:rsidR="004D62B2" w:rsidRPr="00956F81">
        <w:rPr>
          <w:rFonts w:cs="Times New Roman"/>
          <w:sz w:val="20"/>
        </w:rPr>
        <w:t xml:space="preserve">-1 </w:t>
      </w:r>
      <w:r w:rsidR="00F13E9F" w:rsidRPr="00956F81">
        <w:rPr>
          <w:rFonts w:cs="Times New Roman"/>
          <w:sz w:val="20"/>
        </w:rPr>
        <w:t xml:space="preserve">et </w:t>
      </w:r>
      <w:r w:rsidRPr="00956F81">
        <w:rPr>
          <w:rFonts w:cs="Times New Roman"/>
          <w:sz w:val="20"/>
        </w:rPr>
        <w:t>n</w:t>
      </w:r>
      <w:r w:rsidR="003C3256" w:rsidRPr="00956F81">
        <w:rPr>
          <w:rFonts w:cs="Times New Roman"/>
          <w:sz w:val="20"/>
        </w:rPr>
        <w:t>,</w:t>
      </w:r>
      <w:r w:rsidR="00F13E9F" w:rsidRPr="00956F81">
        <w:rPr>
          <w:rFonts w:cs="Times New Roman"/>
          <w:sz w:val="20"/>
        </w:rPr>
        <w:t xml:space="preserve"> liées aux prescriptions de</w:t>
      </w:r>
      <w:r w:rsidR="00E73210" w:rsidRPr="00956F81">
        <w:rPr>
          <w:rFonts w:cs="Times New Roman"/>
          <w:sz w:val="20"/>
        </w:rPr>
        <w:t xml:space="preserve"> perfusion à domicile</w:t>
      </w:r>
      <w:r w:rsidR="00F13E9F" w:rsidRPr="00956F81">
        <w:rPr>
          <w:rFonts w:cs="Times New Roman"/>
          <w:sz w:val="20"/>
        </w:rPr>
        <w:t xml:space="preserve"> émanant de l’établissement</w:t>
      </w:r>
      <w:r w:rsidR="00E73210" w:rsidRPr="00956F81">
        <w:rPr>
          <w:rFonts w:cs="Times New Roman"/>
          <w:sz w:val="20"/>
        </w:rPr>
        <w:t xml:space="preserve"> </w:t>
      </w:r>
      <w:r w:rsidR="00F13E9F" w:rsidRPr="00956F81">
        <w:rPr>
          <w:rFonts w:cs="Times New Roman"/>
          <w:sz w:val="20"/>
        </w:rPr>
        <w:t xml:space="preserve">pour les deux modes de perfusion les plus onéreux </w:t>
      </w:r>
      <w:r w:rsidR="00E73210" w:rsidRPr="00956F81">
        <w:rPr>
          <w:rFonts w:cs="Times New Roman"/>
          <w:sz w:val="20"/>
        </w:rPr>
        <w:t>(par diffuseur et par système actif incluant les pousses seringues et les pompes)</w:t>
      </w:r>
      <w:r w:rsidR="00990633" w:rsidRPr="00956F81">
        <w:rPr>
          <w:rFonts w:cs="Times New Roman"/>
          <w:sz w:val="20"/>
        </w:rPr>
        <w:t xml:space="preserve">. </w:t>
      </w:r>
    </w:p>
    <w:p w14:paraId="3DDD989F" w14:textId="77777777" w:rsidR="00536FEF" w:rsidRPr="00956F81" w:rsidRDefault="00990633">
      <w:pPr>
        <w:jc w:val="both"/>
        <w:rPr>
          <w:rFonts w:cs="Times New Roman"/>
          <w:sz w:val="20"/>
        </w:rPr>
      </w:pPr>
      <w:r w:rsidRPr="00956F81">
        <w:rPr>
          <w:rFonts w:cs="Times New Roman"/>
          <w:sz w:val="20"/>
        </w:rPr>
        <w:t xml:space="preserve">La réalisation d’économies entre </w:t>
      </w:r>
      <w:r w:rsidR="00F13E9F" w:rsidRPr="00956F81">
        <w:rPr>
          <w:rFonts w:cs="Times New Roman"/>
          <w:sz w:val="20"/>
        </w:rPr>
        <w:t>ces deux années</w:t>
      </w:r>
      <w:r w:rsidR="00652483" w:rsidRPr="00956F81">
        <w:rPr>
          <w:rFonts w:cs="Times New Roman"/>
          <w:sz w:val="20"/>
        </w:rPr>
        <w:t>,</w:t>
      </w:r>
      <w:r w:rsidRPr="00956F81">
        <w:rPr>
          <w:rFonts w:cs="Times New Roman"/>
          <w:sz w:val="20"/>
        </w:rPr>
        <w:t xml:space="preserve"> </w:t>
      </w:r>
      <w:r w:rsidR="00965373" w:rsidRPr="00956F81">
        <w:rPr>
          <w:rFonts w:cs="Times New Roman"/>
          <w:sz w:val="20"/>
        </w:rPr>
        <w:t>sur les ordonnances exécutées en ville de perfusion par des diffuseurs ou des systèmes actifs</w:t>
      </w:r>
      <w:r w:rsidR="00652483" w:rsidRPr="00956F81">
        <w:rPr>
          <w:rFonts w:cs="Times New Roman"/>
          <w:sz w:val="20"/>
        </w:rPr>
        <w:t>,</w:t>
      </w:r>
      <w:r w:rsidR="00965373" w:rsidRPr="00956F81">
        <w:rPr>
          <w:rFonts w:cs="Times New Roman"/>
          <w:sz w:val="20"/>
        </w:rPr>
        <w:t xml:space="preserve"> sur un établissement donné</w:t>
      </w:r>
      <w:r w:rsidR="00652483" w:rsidRPr="00956F81">
        <w:rPr>
          <w:rFonts w:cs="Times New Roman"/>
          <w:sz w:val="20"/>
        </w:rPr>
        <w:t>,</w:t>
      </w:r>
      <w:r w:rsidR="00965373" w:rsidRPr="00956F81">
        <w:rPr>
          <w:rFonts w:cs="Times New Roman"/>
          <w:sz w:val="20"/>
        </w:rPr>
        <w:t xml:space="preserve"> permettra </w:t>
      </w:r>
      <w:proofErr w:type="gramStart"/>
      <w:r w:rsidR="00965373" w:rsidRPr="00956F81">
        <w:rPr>
          <w:rFonts w:cs="Times New Roman"/>
          <w:sz w:val="20"/>
        </w:rPr>
        <w:t xml:space="preserve">à </w:t>
      </w:r>
      <w:r w:rsidR="00652483" w:rsidRPr="00956F81">
        <w:rPr>
          <w:rFonts w:cs="Times New Roman"/>
          <w:sz w:val="20"/>
        </w:rPr>
        <w:t xml:space="preserve"> cet</w:t>
      </w:r>
      <w:proofErr w:type="gramEnd"/>
      <w:r w:rsidR="00652483" w:rsidRPr="00956F81">
        <w:rPr>
          <w:rFonts w:cs="Times New Roman"/>
          <w:sz w:val="20"/>
        </w:rPr>
        <w:t xml:space="preserve"> </w:t>
      </w:r>
      <w:r w:rsidR="00965373" w:rsidRPr="00956F81">
        <w:rPr>
          <w:rFonts w:cs="Times New Roman"/>
          <w:sz w:val="20"/>
        </w:rPr>
        <w:t>établissement de santé d’être rémunéré à hauteur de 20% de la dépense économisée par l’</w:t>
      </w:r>
      <w:r w:rsidR="008E1FEB" w:rsidRPr="00956F81">
        <w:rPr>
          <w:rFonts w:cs="Times New Roman"/>
          <w:sz w:val="20"/>
        </w:rPr>
        <w:t>a</w:t>
      </w:r>
      <w:r w:rsidR="00965373" w:rsidRPr="00956F81">
        <w:rPr>
          <w:rFonts w:cs="Times New Roman"/>
          <w:sz w:val="20"/>
        </w:rPr>
        <w:t>ssurance maladie obligatoire.</w:t>
      </w:r>
    </w:p>
    <w:p w14:paraId="7934F110" w14:textId="77777777" w:rsidR="00CA49D1" w:rsidRPr="00956F81" w:rsidRDefault="00652483">
      <w:pPr>
        <w:jc w:val="both"/>
        <w:rPr>
          <w:rFonts w:cs="Times New Roman"/>
          <w:sz w:val="20"/>
        </w:rPr>
      </w:pPr>
      <w:r w:rsidRPr="00956F81">
        <w:rPr>
          <w:rFonts w:cs="Times New Roman"/>
          <w:sz w:val="20"/>
        </w:rPr>
        <w:lastRenderedPageBreak/>
        <w:t>Pour le calcul de l’indicateur, l</w:t>
      </w:r>
      <w:r w:rsidR="00CA49D1" w:rsidRPr="00956F81">
        <w:rPr>
          <w:rFonts w:cs="Times New Roman"/>
          <w:sz w:val="20"/>
        </w:rPr>
        <w:t>es modifications de tarifs et de nomenclatures seront prises en compte.</w:t>
      </w:r>
    </w:p>
    <w:p w14:paraId="7F10E2D4" w14:textId="77777777" w:rsidR="00CA49D1" w:rsidRPr="00956F81" w:rsidRDefault="00CA49D1">
      <w:pPr>
        <w:jc w:val="both"/>
        <w:rPr>
          <w:rFonts w:cs="Times New Roman"/>
          <w:sz w:val="20"/>
        </w:rPr>
      </w:pPr>
      <w:r w:rsidRPr="00956F81">
        <w:rPr>
          <w:rFonts w:cs="Times New Roman"/>
          <w:sz w:val="20"/>
        </w:rPr>
        <w:t>Par ailleurs, le volume total de prescriptions sera suivi d’une année sur l’autre et pourra en cas de variation importante être utilisé pour corriger</w:t>
      </w:r>
      <w:r w:rsidR="005E5572" w:rsidRPr="00956F81">
        <w:rPr>
          <w:rFonts w:cs="Times New Roman"/>
          <w:sz w:val="20"/>
        </w:rPr>
        <w:t xml:space="preserve"> la rémunération.</w:t>
      </w:r>
    </w:p>
    <w:p w14:paraId="45DACE22" w14:textId="77777777" w:rsidR="00EF5994" w:rsidRPr="00956F81" w:rsidRDefault="00EF5994">
      <w:pPr>
        <w:jc w:val="both"/>
        <w:rPr>
          <w:rFonts w:cs="Times New Roman"/>
          <w:sz w:val="20"/>
        </w:rPr>
      </w:pPr>
    </w:p>
    <w:p w14:paraId="7622D693" w14:textId="77777777" w:rsidR="00EF5994" w:rsidRPr="00956F81" w:rsidRDefault="00571461" w:rsidP="00125EF5">
      <w:pPr>
        <w:pStyle w:val="Paragraphedeliste"/>
        <w:numPr>
          <w:ilvl w:val="0"/>
          <w:numId w:val="2"/>
        </w:numPr>
        <w:jc w:val="both"/>
        <w:rPr>
          <w:rFonts w:cs="Times New Roman"/>
          <w:b/>
          <w:sz w:val="20"/>
        </w:rPr>
      </w:pPr>
      <w:r w:rsidRPr="00956F81">
        <w:rPr>
          <w:rFonts w:cs="Times New Roman"/>
          <w:b/>
          <w:sz w:val="20"/>
        </w:rPr>
        <w:t>Calcul et mise en œuvre de la r</w:t>
      </w:r>
      <w:r w:rsidR="00EF5994" w:rsidRPr="00956F81">
        <w:rPr>
          <w:rFonts w:cs="Times New Roman"/>
          <w:b/>
          <w:sz w:val="20"/>
        </w:rPr>
        <w:t>émunération incitative</w:t>
      </w:r>
    </w:p>
    <w:p w14:paraId="318EB8A5" w14:textId="77777777" w:rsidR="00990633" w:rsidRPr="00956F81" w:rsidRDefault="00EF5994" w:rsidP="00125EF5">
      <w:pPr>
        <w:jc w:val="both"/>
        <w:rPr>
          <w:rFonts w:cs="Times New Roman"/>
          <w:sz w:val="20"/>
        </w:rPr>
      </w:pPr>
      <w:r w:rsidRPr="00956F81">
        <w:rPr>
          <w:rFonts w:cs="Times New Roman"/>
          <w:sz w:val="20"/>
        </w:rPr>
        <w:t xml:space="preserve">La réalisation d’économies entre l’année </w:t>
      </w:r>
      <w:r w:rsidR="00652483" w:rsidRPr="00956F81">
        <w:rPr>
          <w:rFonts w:cs="Times New Roman"/>
          <w:sz w:val="20"/>
        </w:rPr>
        <w:t>n</w:t>
      </w:r>
      <w:r w:rsidR="00CA49D1" w:rsidRPr="00956F81">
        <w:rPr>
          <w:rFonts w:cs="Times New Roman"/>
          <w:sz w:val="20"/>
        </w:rPr>
        <w:t>-1 et n</w:t>
      </w:r>
      <w:r w:rsidRPr="00956F81">
        <w:rPr>
          <w:rFonts w:cs="Times New Roman"/>
          <w:sz w:val="20"/>
        </w:rPr>
        <w:t xml:space="preserve"> sur les </w:t>
      </w:r>
      <w:r w:rsidR="00F13E9F" w:rsidRPr="00956F81">
        <w:rPr>
          <w:rFonts w:cs="Times New Roman"/>
          <w:sz w:val="20"/>
        </w:rPr>
        <w:t xml:space="preserve">prescriptions </w:t>
      </w:r>
      <w:r w:rsidRPr="00956F81">
        <w:rPr>
          <w:rFonts w:cs="Times New Roman"/>
          <w:sz w:val="20"/>
        </w:rPr>
        <w:t xml:space="preserve">exécutées en ville de perfusion par des diffuseurs ou des systèmes actifs sur un établissement donné permettra à l’établissement de santé d’être rémunéré à hauteur de 20% </w:t>
      </w:r>
      <w:r w:rsidR="003C3256" w:rsidRPr="00956F81">
        <w:rPr>
          <w:rFonts w:cs="Times New Roman"/>
          <w:sz w:val="20"/>
        </w:rPr>
        <w:t xml:space="preserve">des économies générées (dépenses évitées) </w:t>
      </w:r>
      <w:r w:rsidRPr="00956F81">
        <w:rPr>
          <w:rFonts w:cs="Times New Roman"/>
          <w:sz w:val="20"/>
        </w:rPr>
        <w:t>par l’</w:t>
      </w:r>
      <w:r w:rsidR="008E1FEB" w:rsidRPr="00956F81">
        <w:rPr>
          <w:rFonts w:cs="Times New Roman"/>
          <w:sz w:val="20"/>
        </w:rPr>
        <w:t>a</w:t>
      </w:r>
      <w:r w:rsidRPr="00956F81">
        <w:rPr>
          <w:rFonts w:cs="Times New Roman"/>
          <w:sz w:val="20"/>
        </w:rPr>
        <w:t>ssurance maladie obligatoire.</w:t>
      </w:r>
    </w:p>
    <w:p w14:paraId="4B4E5381" w14:textId="7A8D972E" w:rsidR="00EF5994" w:rsidRPr="00956F81" w:rsidRDefault="00EF5994" w:rsidP="00125EF5">
      <w:pPr>
        <w:pBdr>
          <w:top w:val="single" w:sz="4" w:space="1" w:color="auto"/>
          <w:left w:val="single" w:sz="4" w:space="4" w:color="auto"/>
          <w:bottom w:val="single" w:sz="4" w:space="1" w:color="auto"/>
          <w:right w:val="single" w:sz="4" w:space="4" w:color="auto"/>
        </w:pBdr>
        <w:rPr>
          <w:rFonts w:cs="Times New Roman"/>
          <w:sz w:val="20"/>
        </w:rPr>
      </w:pPr>
      <w:r w:rsidRPr="00956F81">
        <w:rPr>
          <w:rFonts w:cs="Times New Roman"/>
          <w:b/>
          <w:sz w:val="20"/>
        </w:rPr>
        <w:t xml:space="preserve">Rémunération </w:t>
      </w:r>
      <w:r w:rsidR="00CA49D1" w:rsidRPr="00956F81">
        <w:rPr>
          <w:rFonts w:cs="Times New Roman"/>
          <w:b/>
          <w:sz w:val="20"/>
        </w:rPr>
        <w:t xml:space="preserve">n </w:t>
      </w:r>
      <w:r w:rsidRPr="00956F81">
        <w:rPr>
          <w:rFonts w:cs="Times New Roman"/>
          <w:sz w:val="20"/>
        </w:rPr>
        <w:t xml:space="preserve">= [(dépense remboursée PERFADOM (diffuseur + systèmes actifs) issue des prescriptions de l’établissement en </w:t>
      </w:r>
      <w:r w:rsidR="00571461" w:rsidRPr="00956F81">
        <w:rPr>
          <w:rFonts w:cs="Times New Roman"/>
          <w:sz w:val="20"/>
        </w:rPr>
        <w:t xml:space="preserve">année </w:t>
      </w:r>
      <w:r w:rsidR="004F6A45" w:rsidRPr="00956F81">
        <w:rPr>
          <w:rFonts w:cs="Times New Roman"/>
          <w:sz w:val="20"/>
        </w:rPr>
        <w:t>n)</w:t>
      </w:r>
      <w:r w:rsidRPr="00956F81">
        <w:rPr>
          <w:rFonts w:cs="Times New Roman"/>
          <w:sz w:val="20"/>
        </w:rPr>
        <w:t xml:space="preserve"> - (dépense remboursée PERFADOM (diffuseur + systèmes actifs) issue des prescriptions de l’établissement</w:t>
      </w:r>
      <w:r w:rsidR="00652483" w:rsidRPr="00956F81">
        <w:rPr>
          <w:rFonts w:cs="Times New Roman"/>
          <w:sz w:val="20"/>
        </w:rPr>
        <w:t xml:space="preserve"> en</w:t>
      </w:r>
      <w:r w:rsidR="00571461" w:rsidRPr="00956F81">
        <w:rPr>
          <w:rFonts w:cs="Times New Roman"/>
          <w:sz w:val="20"/>
        </w:rPr>
        <w:t xml:space="preserve"> année</w:t>
      </w:r>
      <w:r w:rsidRPr="00956F81">
        <w:rPr>
          <w:rFonts w:cs="Times New Roman"/>
          <w:sz w:val="20"/>
        </w:rPr>
        <w:t xml:space="preserve"> </w:t>
      </w:r>
      <w:r w:rsidR="00CA49D1" w:rsidRPr="00956F81">
        <w:rPr>
          <w:rFonts w:cs="Times New Roman"/>
          <w:sz w:val="20"/>
        </w:rPr>
        <w:t>n-1</w:t>
      </w:r>
      <w:proofErr w:type="gramStart"/>
      <w:r w:rsidRPr="00956F81">
        <w:rPr>
          <w:rFonts w:cs="Times New Roman"/>
          <w:sz w:val="20"/>
        </w:rPr>
        <w:t>)]*</w:t>
      </w:r>
      <w:proofErr w:type="gramEnd"/>
      <w:r w:rsidRPr="00956F81">
        <w:rPr>
          <w:rFonts w:cs="Times New Roman"/>
          <w:b/>
          <w:sz w:val="20"/>
        </w:rPr>
        <w:t>0,2</w:t>
      </w:r>
    </w:p>
    <w:p w14:paraId="16E6533C" w14:textId="77777777" w:rsidR="00CA49D1" w:rsidRPr="00956F81" w:rsidRDefault="00CA49D1" w:rsidP="00125EF5">
      <w:pPr>
        <w:rPr>
          <w:rFonts w:cs="Times New Roman"/>
          <w:b/>
          <w:sz w:val="20"/>
        </w:rPr>
      </w:pPr>
    </w:p>
    <w:p w14:paraId="1D13D055" w14:textId="77777777" w:rsidR="00EF5994" w:rsidRPr="00956F81" w:rsidRDefault="00EF5994" w:rsidP="00125EF5">
      <w:pPr>
        <w:pStyle w:val="Paragraphedeliste"/>
        <w:numPr>
          <w:ilvl w:val="0"/>
          <w:numId w:val="2"/>
        </w:numPr>
        <w:rPr>
          <w:rFonts w:cs="Times New Roman"/>
          <w:b/>
          <w:sz w:val="20"/>
        </w:rPr>
      </w:pPr>
      <w:r w:rsidRPr="00956F81">
        <w:rPr>
          <w:rFonts w:cs="Times New Roman"/>
          <w:b/>
          <w:sz w:val="20"/>
        </w:rPr>
        <w:t>Exemple de rémunération d’un établissement hospitalier</w:t>
      </w:r>
    </w:p>
    <w:p w14:paraId="1C2C14D0" w14:textId="77777777" w:rsidR="00EF5994" w:rsidRPr="00956F81" w:rsidRDefault="00826F84" w:rsidP="00125EF5">
      <w:pPr>
        <w:jc w:val="both"/>
        <w:rPr>
          <w:rFonts w:cs="Times New Roman"/>
          <w:sz w:val="20"/>
        </w:rPr>
      </w:pPr>
      <w:r w:rsidRPr="00956F81">
        <w:rPr>
          <w:rFonts w:cs="Times New Roman"/>
          <w:sz w:val="20"/>
        </w:rPr>
        <w:t xml:space="preserve">En 2019, </w:t>
      </w:r>
      <w:r w:rsidR="00F13E9F" w:rsidRPr="00956F81">
        <w:rPr>
          <w:rFonts w:cs="Times New Roman"/>
          <w:sz w:val="20"/>
        </w:rPr>
        <w:t>un établissement</w:t>
      </w:r>
      <w:r w:rsidR="00EF5994" w:rsidRPr="00956F81">
        <w:rPr>
          <w:rFonts w:cs="Times New Roman"/>
          <w:sz w:val="20"/>
        </w:rPr>
        <w:t xml:space="preserve"> </w:t>
      </w:r>
      <w:r w:rsidRPr="00956F81">
        <w:rPr>
          <w:rFonts w:cs="Times New Roman"/>
          <w:sz w:val="20"/>
        </w:rPr>
        <w:t xml:space="preserve">a prescrit des forfaits de perfusion à domicile par diffuseur ou système électrique qui ont entraîné une dépense en ville de 3 491 305 €. En 2020, </w:t>
      </w:r>
      <w:r w:rsidR="00F13E9F" w:rsidRPr="00956F81">
        <w:rPr>
          <w:rFonts w:cs="Times New Roman"/>
          <w:sz w:val="20"/>
        </w:rPr>
        <w:t>ce même établissement</w:t>
      </w:r>
      <w:r w:rsidRPr="00956F81">
        <w:rPr>
          <w:rFonts w:cs="Times New Roman"/>
          <w:sz w:val="20"/>
        </w:rPr>
        <w:t xml:space="preserve"> a diminué la dépense issue de ses prescriptions de ville de diffuseur et système électrique à 3 248</w:t>
      </w:r>
      <w:r w:rsidR="00652483" w:rsidRPr="00956F81">
        <w:rPr>
          <w:rFonts w:cs="Times New Roman"/>
          <w:sz w:val="20"/>
        </w:rPr>
        <w:t> </w:t>
      </w:r>
      <w:r w:rsidRPr="00956F81">
        <w:rPr>
          <w:rFonts w:cs="Times New Roman"/>
          <w:sz w:val="20"/>
        </w:rPr>
        <w:t>240</w:t>
      </w:r>
      <w:r w:rsidR="00652483" w:rsidRPr="00956F81">
        <w:rPr>
          <w:rFonts w:cs="Times New Roman"/>
          <w:sz w:val="20"/>
        </w:rPr>
        <w:t xml:space="preserve"> </w:t>
      </w:r>
      <w:r w:rsidRPr="00956F81">
        <w:rPr>
          <w:rFonts w:cs="Times New Roman"/>
          <w:sz w:val="20"/>
        </w:rPr>
        <w:t>€.</w:t>
      </w:r>
    </w:p>
    <w:p w14:paraId="6227316C" w14:textId="77777777" w:rsidR="00826F84" w:rsidRPr="00956F81" w:rsidRDefault="00826F84" w:rsidP="00125EF5">
      <w:pPr>
        <w:jc w:val="both"/>
        <w:rPr>
          <w:rFonts w:cs="Times New Roman"/>
          <w:sz w:val="20"/>
        </w:rPr>
      </w:pPr>
      <w:r w:rsidRPr="00956F81">
        <w:rPr>
          <w:rFonts w:cs="Times New Roman"/>
          <w:sz w:val="20"/>
        </w:rPr>
        <w:t xml:space="preserve">Il sera donc reversé à l’établissement une incitation de </w:t>
      </w:r>
      <w:r w:rsidR="0076051B" w:rsidRPr="00956F81">
        <w:rPr>
          <w:rFonts w:cs="Times New Roman"/>
          <w:sz w:val="20"/>
        </w:rPr>
        <w:t>48 613 € sur une économie réalisée de 243</w:t>
      </w:r>
      <w:r w:rsidR="008E1FEB" w:rsidRPr="00956F81">
        <w:rPr>
          <w:rFonts w:cs="Times New Roman"/>
          <w:sz w:val="20"/>
        </w:rPr>
        <w:t> </w:t>
      </w:r>
      <w:r w:rsidR="0076051B" w:rsidRPr="00956F81">
        <w:rPr>
          <w:rFonts w:cs="Times New Roman"/>
          <w:sz w:val="20"/>
        </w:rPr>
        <w:t>065</w:t>
      </w:r>
      <w:r w:rsidR="008E1FEB" w:rsidRPr="00956F81">
        <w:rPr>
          <w:rFonts w:cs="Times New Roman"/>
          <w:sz w:val="20"/>
        </w:rPr>
        <w:t> </w:t>
      </w:r>
      <w:r w:rsidR="0076051B" w:rsidRPr="00956F81">
        <w:rPr>
          <w:rFonts w:cs="Times New Roman"/>
          <w:sz w:val="20"/>
        </w:rPr>
        <w:t>€ pour l’assurance maladie.</w:t>
      </w:r>
      <w:r w:rsidR="00F13E9F" w:rsidRPr="00956F81">
        <w:rPr>
          <w:rFonts w:cs="Times New Roman"/>
          <w:sz w:val="20"/>
        </w:rPr>
        <w:t xml:space="preserve"> Cette économie devra pour partie (au moins 50%) être reversée aux services ayant contribué à l’amélioration de la dépense.</w:t>
      </w:r>
    </w:p>
    <w:p w14:paraId="149FEF7A" w14:textId="061B94D1" w:rsidR="00F13E9F" w:rsidRDefault="00F13E9F" w:rsidP="00125EF5">
      <w:pPr>
        <w:jc w:val="both"/>
        <w:rPr>
          <w:rFonts w:cs="Times New Roman"/>
          <w:sz w:val="20"/>
        </w:rPr>
      </w:pPr>
      <w:r w:rsidRPr="00956F81">
        <w:rPr>
          <w:rFonts w:cs="Times New Roman"/>
          <w:sz w:val="20"/>
        </w:rPr>
        <w:t>Pour le suivi de cet indicateur, l’établissement recevra une ventilation des dépenses selon la spécialité médicale de ces prescripteurs au titre de l’année 2019, ainsi qu’une à deux extractions au cours de l’année 2020 pour permettre un suivi des dépenses.</w:t>
      </w:r>
    </w:p>
    <w:p w14:paraId="6B28CE6B" w14:textId="77777777" w:rsidR="00A1624C" w:rsidRPr="00956F81" w:rsidRDefault="00A1624C" w:rsidP="00125EF5">
      <w:pPr>
        <w:jc w:val="both"/>
        <w:rPr>
          <w:rFonts w:cs="Times New Roman"/>
          <w:sz w:val="20"/>
        </w:rPr>
      </w:pPr>
    </w:p>
    <w:p w14:paraId="56B2DCBB" w14:textId="77777777" w:rsidR="003B3A63" w:rsidRPr="003B3A63" w:rsidRDefault="00571461" w:rsidP="003B3A63">
      <w:pPr>
        <w:pStyle w:val="Paragraphedeliste"/>
        <w:numPr>
          <w:ilvl w:val="0"/>
          <w:numId w:val="1"/>
        </w:numPr>
        <w:jc w:val="both"/>
        <w:rPr>
          <w:rFonts w:cs="Times New Roman"/>
          <w:b/>
          <w:sz w:val="20"/>
        </w:rPr>
      </w:pPr>
      <w:r w:rsidRPr="00956F81">
        <w:rPr>
          <w:rFonts w:cs="Times New Roman"/>
          <w:b/>
          <w:sz w:val="20"/>
        </w:rPr>
        <w:t xml:space="preserve">Construction des indicateurs de bonne pratique  </w:t>
      </w:r>
    </w:p>
    <w:p w14:paraId="509D8EE9" w14:textId="69308999" w:rsidR="00A1624C" w:rsidRDefault="00A1624C" w:rsidP="003B3A63">
      <w:pPr>
        <w:jc w:val="both"/>
        <w:rPr>
          <w:rFonts w:cs="Times New Roman"/>
          <w:sz w:val="20"/>
        </w:rPr>
      </w:pPr>
      <w:r w:rsidRPr="00A1624C">
        <w:rPr>
          <w:rFonts w:cs="Times New Roman"/>
          <w:sz w:val="20"/>
        </w:rPr>
        <w:t>Cet indicateur couplé à un intéressement sera également associé à d’autres indicateurs connexes de bonne pratique qui seront fournis aux établissement afin d’améliorer la compréhension de la problématique et de faciliter la mise en œuvre d’actions de pertinence sur le terrain. Ces indicateurs connexes resteront indicatifs et ne contribueront pas au calcul des économies générées.</w:t>
      </w:r>
    </w:p>
    <w:p w14:paraId="26CAE1BA" w14:textId="435C62F4" w:rsidR="003B3A63" w:rsidRPr="00956F81" w:rsidRDefault="00A1624C" w:rsidP="003B3A63">
      <w:pPr>
        <w:jc w:val="both"/>
        <w:rPr>
          <w:rFonts w:cs="Times New Roman"/>
          <w:sz w:val="20"/>
        </w:rPr>
      </w:pPr>
      <w:r>
        <w:rPr>
          <w:rFonts w:cs="Times New Roman"/>
          <w:sz w:val="20"/>
        </w:rPr>
        <w:t>Un indicateur permettra d’objectiver</w:t>
      </w:r>
      <w:r w:rsidR="003B3A63" w:rsidRPr="00956F81">
        <w:rPr>
          <w:rFonts w:cs="Times New Roman"/>
          <w:sz w:val="20"/>
        </w:rPr>
        <w:t xml:space="preserve"> la dépense suivie </w:t>
      </w:r>
      <w:r>
        <w:rPr>
          <w:rFonts w:cs="Times New Roman"/>
          <w:sz w:val="20"/>
        </w:rPr>
        <w:t xml:space="preserve">(diffuseur + systèmes actifs) </w:t>
      </w:r>
      <w:r w:rsidR="003B3A63" w:rsidRPr="00956F81">
        <w:rPr>
          <w:rFonts w:cs="Times New Roman"/>
          <w:sz w:val="20"/>
        </w:rPr>
        <w:t>par rapport à la dépense totale, liée à toutes les prescriptions de perfusion incluant celles par gravité :</w:t>
      </w:r>
    </w:p>
    <w:tbl>
      <w:tblPr>
        <w:tblStyle w:val="Grilledutableau"/>
        <w:tblW w:w="0" w:type="auto"/>
        <w:tblLook w:val="04A0" w:firstRow="1" w:lastRow="0" w:firstColumn="1" w:lastColumn="0" w:noHBand="0" w:noVBand="1"/>
      </w:tblPr>
      <w:tblGrid>
        <w:gridCol w:w="9062"/>
      </w:tblGrid>
      <w:tr w:rsidR="00A1624C" w:rsidRPr="005759BC" w14:paraId="1F1D3415" w14:textId="77777777" w:rsidTr="00A1624C">
        <w:tc>
          <w:tcPr>
            <w:tcW w:w="9212" w:type="dxa"/>
          </w:tcPr>
          <w:p w14:paraId="2E66216E" w14:textId="77777777" w:rsidR="00A1624C" w:rsidRPr="005759BC" w:rsidRDefault="00A1624C" w:rsidP="005759BC">
            <w:pPr>
              <w:jc w:val="both"/>
              <w:rPr>
                <w:rFonts w:cs="Times New Roman"/>
                <w:sz w:val="20"/>
              </w:rPr>
            </w:pPr>
            <w:r w:rsidRPr="005759BC">
              <w:rPr>
                <w:rFonts w:cs="Times New Roman"/>
                <w:sz w:val="20"/>
              </w:rPr>
              <w:t>Indicateur BP[année n] = [dépense remboursée PERFADOM (diffuseur + systèmes actifs) issue des prescriptions de l’établissement en année n ] / [dépense remboursée PERFADOM (gravité + diffuseur + systèmes actifs) issue des prescriptions de l’établissement en année n ].</w:t>
            </w:r>
          </w:p>
        </w:tc>
      </w:tr>
    </w:tbl>
    <w:p w14:paraId="152951A9" w14:textId="77777777" w:rsidR="00A1624C" w:rsidRPr="00940E3D" w:rsidRDefault="00A1624C" w:rsidP="003B3A63">
      <w:pPr>
        <w:jc w:val="both"/>
        <w:rPr>
          <w:rFonts w:cs="Times New Roman"/>
          <w:sz w:val="2"/>
          <w:szCs w:val="2"/>
        </w:rPr>
      </w:pPr>
    </w:p>
    <w:p w14:paraId="34A6AD84" w14:textId="7B041608" w:rsidR="00A1624C" w:rsidRPr="00956F81" w:rsidRDefault="00A1624C" w:rsidP="003B3A63">
      <w:pPr>
        <w:jc w:val="both"/>
        <w:rPr>
          <w:rFonts w:cs="Times New Roman"/>
          <w:sz w:val="20"/>
        </w:rPr>
      </w:pPr>
      <w:r>
        <w:rPr>
          <w:rFonts w:cs="Times New Roman"/>
          <w:sz w:val="20"/>
        </w:rPr>
        <w:t>Enfin, u</w:t>
      </w:r>
      <w:r w:rsidRPr="00A1624C">
        <w:rPr>
          <w:rFonts w:cs="Times New Roman"/>
          <w:sz w:val="20"/>
        </w:rPr>
        <w:t xml:space="preserve">n indicateur relatif au poids de la prescription d’antibiothérapie à domicile par diffuseur </w:t>
      </w:r>
      <w:r w:rsidR="000C166B">
        <w:rPr>
          <w:rFonts w:cs="Times New Roman"/>
          <w:sz w:val="20"/>
        </w:rPr>
        <w:t xml:space="preserve">permettra </w:t>
      </w:r>
      <w:r w:rsidRPr="00A1624C">
        <w:rPr>
          <w:rFonts w:cs="Times New Roman"/>
          <w:sz w:val="20"/>
        </w:rPr>
        <w:t xml:space="preserve">d’illustrer l’évolution de cette modalité thérapeutique; le top 10 des antibiotiques les plus prescrits par les établissements en ville au plan national, </w:t>
      </w:r>
      <w:r w:rsidR="000C166B">
        <w:rPr>
          <w:rFonts w:cs="Times New Roman"/>
          <w:sz w:val="20"/>
        </w:rPr>
        <w:t xml:space="preserve">et sera mis à disposition de tous les </w:t>
      </w:r>
      <w:r w:rsidRPr="00A1624C">
        <w:rPr>
          <w:rFonts w:cs="Times New Roman"/>
          <w:sz w:val="20"/>
        </w:rPr>
        <w:t>établissement</w:t>
      </w:r>
      <w:r w:rsidR="000C166B">
        <w:rPr>
          <w:rFonts w:cs="Times New Roman"/>
          <w:sz w:val="20"/>
        </w:rPr>
        <w:t>s</w:t>
      </w:r>
      <w:r w:rsidRPr="00A1624C">
        <w:rPr>
          <w:rFonts w:cs="Times New Roman"/>
          <w:sz w:val="20"/>
        </w:rPr>
        <w:t xml:space="preserve"> concerné</w:t>
      </w:r>
      <w:r w:rsidR="000C166B">
        <w:rPr>
          <w:rFonts w:cs="Times New Roman"/>
          <w:sz w:val="20"/>
        </w:rPr>
        <w:t>s</w:t>
      </w:r>
      <w:r w:rsidRPr="00A1624C">
        <w:rPr>
          <w:rFonts w:cs="Times New Roman"/>
          <w:sz w:val="20"/>
        </w:rPr>
        <w:t xml:space="preserve"> par cette pratique, en taux de </w:t>
      </w:r>
      <w:r w:rsidR="000C166B" w:rsidRPr="00A1624C">
        <w:rPr>
          <w:rFonts w:cs="Times New Roman"/>
          <w:sz w:val="20"/>
        </w:rPr>
        <w:t>patients, en</w:t>
      </w:r>
      <w:r w:rsidRPr="00A1624C">
        <w:rPr>
          <w:rFonts w:cs="Times New Roman"/>
          <w:sz w:val="20"/>
        </w:rPr>
        <w:t xml:space="preserve"> taux de prescriptions, en montants remboursés pour les antibiotiques et en montants remb</w:t>
      </w:r>
      <w:r w:rsidR="000C166B">
        <w:rPr>
          <w:rFonts w:cs="Times New Roman"/>
          <w:sz w:val="20"/>
        </w:rPr>
        <w:t>oursés sur les dispositifs LPP.</w:t>
      </w:r>
    </w:p>
    <w:p w14:paraId="20D0EB4D" w14:textId="77777777" w:rsidR="003B3A63" w:rsidRDefault="003B3A63" w:rsidP="003B3A63">
      <w:pPr>
        <w:pStyle w:val="Paragraphedeliste"/>
        <w:jc w:val="both"/>
        <w:rPr>
          <w:rFonts w:cs="Times New Roman"/>
          <w:b/>
          <w:sz w:val="20"/>
        </w:rPr>
      </w:pPr>
    </w:p>
    <w:p w14:paraId="09DFB1E2" w14:textId="77777777" w:rsidR="003B3A63" w:rsidRPr="00956F81" w:rsidRDefault="003B3A63" w:rsidP="00125EF5">
      <w:pPr>
        <w:pStyle w:val="Paragraphedeliste"/>
        <w:numPr>
          <w:ilvl w:val="0"/>
          <w:numId w:val="1"/>
        </w:numPr>
        <w:jc w:val="both"/>
        <w:rPr>
          <w:rFonts w:cs="Times New Roman"/>
          <w:b/>
          <w:sz w:val="20"/>
        </w:rPr>
      </w:pPr>
      <w:r>
        <w:rPr>
          <w:rFonts w:cs="Times New Roman"/>
          <w:b/>
          <w:sz w:val="20"/>
        </w:rPr>
        <w:t>Ciblage des établissements</w:t>
      </w:r>
    </w:p>
    <w:p w14:paraId="65B7D476" w14:textId="77777777" w:rsidR="00571461" w:rsidRDefault="003B3A63" w:rsidP="00125EF5">
      <w:pPr>
        <w:jc w:val="both"/>
        <w:rPr>
          <w:rFonts w:cs="Times New Roman"/>
          <w:sz w:val="20"/>
        </w:rPr>
      </w:pPr>
      <w:r>
        <w:rPr>
          <w:rFonts w:cs="Times New Roman"/>
          <w:sz w:val="20"/>
        </w:rPr>
        <w:t>Le ciblage des établissements concerne les prescriptions de</w:t>
      </w:r>
      <w:r w:rsidRPr="003B3A63">
        <w:rPr>
          <w:rFonts w:cs="Times New Roman"/>
          <w:sz w:val="20"/>
        </w:rPr>
        <w:t xml:space="preserve"> systèmes actifs et de système par diffusion</w:t>
      </w:r>
      <w:r>
        <w:rPr>
          <w:rFonts w:cs="Times New Roman"/>
          <w:sz w:val="20"/>
        </w:rPr>
        <w:t xml:space="preserve"> sur la base de deux critères : </w:t>
      </w:r>
    </w:p>
    <w:p w14:paraId="585E96E5" w14:textId="77777777" w:rsidR="0091709F" w:rsidRPr="003B3A63" w:rsidRDefault="003B3A63" w:rsidP="003B3A63">
      <w:pPr>
        <w:pStyle w:val="Paragraphedeliste"/>
        <w:numPr>
          <w:ilvl w:val="0"/>
          <w:numId w:val="5"/>
        </w:numPr>
        <w:jc w:val="both"/>
        <w:rPr>
          <w:rFonts w:cs="Times New Roman"/>
          <w:sz w:val="20"/>
        </w:rPr>
      </w:pPr>
      <w:r>
        <w:rPr>
          <w:rFonts w:cs="Times New Roman"/>
          <w:sz w:val="20"/>
        </w:rPr>
        <w:t xml:space="preserve">Dépenses (en montants remboursés) supérieur au seuil de </w:t>
      </w:r>
      <w:r w:rsidR="0094388B" w:rsidRPr="003B3A63">
        <w:rPr>
          <w:rFonts w:cs="Times New Roman"/>
          <w:sz w:val="20"/>
        </w:rPr>
        <w:t>100 000 euros</w:t>
      </w:r>
    </w:p>
    <w:p w14:paraId="3FCFBBD6" w14:textId="77777777" w:rsidR="0091709F" w:rsidRPr="000C31FB" w:rsidRDefault="003B3A63" w:rsidP="003B3A63">
      <w:pPr>
        <w:pStyle w:val="Paragraphedeliste"/>
        <w:numPr>
          <w:ilvl w:val="0"/>
          <w:numId w:val="5"/>
        </w:numPr>
        <w:jc w:val="both"/>
        <w:rPr>
          <w:rFonts w:cs="Times New Roman"/>
          <w:sz w:val="20"/>
        </w:rPr>
      </w:pPr>
      <w:r w:rsidRPr="000C31FB">
        <w:rPr>
          <w:rFonts w:cs="Times New Roman"/>
          <w:sz w:val="20"/>
        </w:rPr>
        <w:t xml:space="preserve">Taux de recours </w:t>
      </w:r>
      <w:proofErr w:type="gramStart"/>
      <w:r w:rsidRPr="000C31FB">
        <w:rPr>
          <w:rFonts w:cs="Times New Roman"/>
          <w:sz w:val="20"/>
        </w:rPr>
        <w:t>( en</w:t>
      </w:r>
      <w:proofErr w:type="gramEnd"/>
      <w:r w:rsidRPr="000C31FB">
        <w:rPr>
          <w:rFonts w:cs="Times New Roman"/>
          <w:sz w:val="20"/>
        </w:rPr>
        <w:t xml:space="preserve"> montants remboursés) à ces deux systèmes</w:t>
      </w:r>
      <w:r w:rsidR="0094388B" w:rsidRPr="000C31FB">
        <w:rPr>
          <w:rFonts w:cs="Times New Roman"/>
          <w:sz w:val="20"/>
        </w:rPr>
        <w:t xml:space="preserve"> </w:t>
      </w:r>
      <w:r w:rsidRPr="000C31FB">
        <w:rPr>
          <w:rFonts w:cs="Times New Roman"/>
          <w:sz w:val="20"/>
        </w:rPr>
        <w:t xml:space="preserve">supérieur à </w:t>
      </w:r>
      <w:r w:rsidR="0094388B" w:rsidRPr="000C31FB">
        <w:rPr>
          <w:rFonts w:cs="Times New Roman"/>
          <w:sz w:val="20"/>
        </w:rPr>
        <w:t>80 %</w:t>
      </w:r>
    </w:p>
    <w:p w14:paraId="1F65E91F" w14:textId="77777777" w:rsidR="003B3A63" w:rsidRPr="000C31FB" w:rsidRDefault="003B3A63" w:rsidP="000C31FB">
      <w:pPr>
        <w:pStyle w:val="Paragraphedeliste"/>
        <w:ind w:left="0"/>
        <w:jc w:val="both"/>
        <w:rPr>
          <w:rFonts w:cs="Times New Roman"/>
          <w:sz w:val="20"/>
        </w:rPr>
      </w:pPr>
    </w:p>
    <w:p w14:paraId="23ACFEB7" w14:textId="77777777" w:rsidR="003B3A63" w:rsidRPr="000C31FB" w:rsidRDefault="003B3A63" w:rsidP="000C31FB">
      <w:pPr>
        <w:pStyle w:val="Paragraphedeliste"/>
        <w:ind w:left="0"/>
        <w:jc w:val="both"/>
        <w:rPr>
          <w:rFonts w:cs="Times New Roman"/>
          <w:sz w:val="20"/>
        </w:rPr>
      </w:pPr>
      <w:r w:rsidRPr="000C31FB">
        <w:rPr>
          <w:rFonts w:cs="Times New Roman"/>
          <w:sz w:val="20"/>
        </w:rPr>
        <w:t>377</w:t>
      </w:r>
      <w:r w:rsidR="000C31FB" w:rsidRPr="000C31FB">
        <w:rPr>
          <w:rFonts w:cs="Times New Roman"/>
          <w:sz w:val="20"/>
        </w:rPr>
        <w:t xml:space="preserve"> établissements sont concernés par ce ciblage et représentent 185 millions d’euros de dépenses liés à ces deux systèmes de perfusion (soit 87% des dépenses totales, toutes perfusions confondues)</w:t>
      </w:r>
    </w:p>
    <w:p w14:paraId="3EB46BA7" w14:textId="77777777" w:rsidR="003B3A63" w:rsidRPr="000C31FB" w:rsidRDefault="003B3A63" w:rsidP="000C31FB">
      <w:pPr>
        <w:ind w:left="720"/>
        <w:jc w:val="both"/>
        <w:rPr>
          <w:rFonts w:cs="Times New Roman"/>
          <w:sz w:val="20"/>
        </w:rPr>
      </w:pPr>
    </w:p>
    <w:p w14:paraId="2A92AFD9" w14:textId="77777777" w:rsidR="003B3A63" w:rsidRPr="000C31FB" w:rsidRDefault="003B3A63" w:rsidP="000C31FB">
      <w:pPr>
        <w:jc w:val="both"/>
        <w:rPr>
          <w:rFonts w:cs="Times New Roman"/>
          <w:sz w:val="20"/>
        </w:rPr>
      </w:pPr>
    </w:p>
    <w:sectPr w:rsidR="003B3A63" w:rsidRPr="000C31FB" w:rsidSect="00973C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22B7C" w14:textId="77777777" w:rsidR="00440AB3" w:rsidRDefault="00440AB3" w:rsidP="00956F81">
      <w:pPr>
        <w:spacing w:after="0" w:line="240" w:lineRule="auto"/>
      </w:pPr>
      <w:r>
        <w:separator/>
      </w:r>
    </w:p>
  </w:endnote>
  <w:endnote w:type="continuationSeparator" w:id="0">
    <w:p w14:paraId="4CE5310F" w14:textId="77777777" w:rsidR="00440AB3" w:rsidRDefault="00440AB3" w:rsidP="0095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DFA" w14:textId="77777777" w:rsidR="005B50D5" w:rsidRDefault="005B50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D548" w14:textId="66CE1A8E" w:rsidR="00956F81" w:rsidRPr="00956F81" w:rsidRDefault="00956F81">
    <w:pPr>
      <w:pStyle w:val="Pieddepage"/>
      <w:rPr>
        <w:sz w:val="20"/>
      </w:rPr>
    </w:pPr>
    <w:r>
      <w:rPr>
        <w:sz w:val="20"/>
      </w:rPr>
      <w:tab/>
    </w:r>
    <w:r w:rsidR="00191713">
      <w:rPr>
        <w:sz w:val="20"/>
      </w:rPr>
      <w:t>Janvier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6FD0" w14:textId="77777777" w:rsidR="005B50D5" w:rsidRDefault="005B50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1CA9" w14:textId="77777777" w:rsidR="00440AB3" w:rsidRDefault="00440AB3" w:rsidP="00956F81">
      <w:pPr>
        <w:spacing w:after="0" w:line="240" w:lineRule="auto"/>
      </w:pPr>
      <w:r>
        <w:separator/>
      </w:r>
    </w:p>
  </w:footnote>
  <w:footnote w:type="continuationSeparator" w:id="0">
    <w:p w14:paraId="54F9809B" w14:textId="77777777" w:rsidR="00440AB3" w:rsidRDefault="00440AB3" w:rsidP="0095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07AA" w14:textId="77777777" w:rsidR="005B50D5" w:rsidRDefault="005B50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C70A" w14:textId="7002BFBE" w:rsidR="00956F81" w:rsidRDefault="005B50D5">
    <w:pPr>
      <w:pStyle w:val="En-tt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8116" w14:textId="005DF7CC" w:rsidR="005B50D5" w:rsidRDefault="00973CCD">
    <w:pPr>
      <w:pStyle w:val="En-tte"/>
    </w:pPr>
    <w:r w:rsidRPr="006C3826">
      <w:rPr>
        <w:noProof/>
        <w:lang w:eastAsia="fr-FR"/>
      </w:rPr>
      <w:drawing>
        <wp:inline distT="0" distB="0" distL="0" distR="0" wp14:anchorId="3E4E998D" wp14:editId="68658B90">
          <wp:extent cx="770400" cy="770400"/>
          <wp:effectExtent l="0" t="0" r="0" b="0"/>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770400"/>
                  </a:xfrm>
                  <a:prstGeom prst="rect">
                    <a:avLst/>
                  </a:prstGeom>
                </pic:spPr>
              </pic:pic>
            </a:graphicData>
          </a:graphic>
        </wp:inline>
      </w:drawing>
    </w:r>
    <w:r w:rsidRPr="00973CCD">
      <w:t xml:space="preserve"> </w:t>
    </w:r>
    <w:r>
      <w:tab/>
    </w:r>
    <w:bookmarkStart w:id="0" w:name="_GoBack"/>
    <w:bookmarkEnd w:id="0"/>
    <w:r>
      <w:t>ANNEXE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54D9"/>
    <w:multiLevelType w:val="hybridMultilevel"/>
    <w:tmpl w:val="044C4ED6"/>
    <w:lvl w:ilvl="0" w:tplc="2E76C80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0596E"/>
    <w:multiLevelType w:val="hybridMultilevel"/>
    <w:tmpl w:val="44FE4F9E"/>
    <w:lvl w:ilvl="0" w:tplc="C7688468">
      <w:start w:val="1"/>
      <w:numFmt w:val="bullet"/>
      <w:lvlText w:val=""/>
      <w:lvlJc w:val="left"/>
      <w:pPr>
        <w:tabs>
          <w:tab w:val="num" w:pos="720"/>
        </w:tabs>
        <w:ind w:left="720" w:hanging="360"/>
      </w:pPr>
      <w:rPr>
        <w:rFonts w:ascii="Wingdings" w:hAnsi="Wingdings" w:hint="default"/>
      </w:rPr>
    </w:lvl>
    <w:lvl w:ilvl="1" w:tplc="231A049A">
      <w:start w:val="1"/>
      <w:numFmt w:val="bullet"/>
      <w:lvlText w:val=""/>
      <w:lvlJc w:val="left"/>
      <w:pPr>
        <w:tabs>
          <w:tab w:val="num" w:pos="1440"/>
        </w:tabs>
        <w:ind w:left="1440" w:hanging="360"/>
      </w:pPr>
      <w:rPr>
        <w:rFonts w:ascii="Wingdings" w:hAnsi="Wingdings" w:hint="default"/>
      </w:rPr>
    </w:lvl>
    <w:lvl w:ilvl="2" w:tplc="0890C468" w:tentative="1">
      <w:start w:val="1"/>
      <w:numFmt w:val="bullet"/>
      <w:lvlText w:val=""/>
      <w:lvlJc w:val="left"/>
      <w:pPr>
        <w:tabs>
          <w:tab w:val="num" w:pos="2160"/>
        </w:tabs>
        <w:ind w:left="2160" w:hanging="360"/>
      </w:pPr>
      <w:rPr>
        <w:rFonts w:ascii="Wingdings" w:hAnsi="Wingdings" w:hint="default"/>
      </w:rPr>
    </w:lvl>
    <w:lvl w:ilvl="3" w:tplc="4FA6EB3C" w:tentative="1">
      <w:start w:val="1"/>
      <w:numFmt w:val="bullet"/>
      <w:lvlText w:val=""/>
      <w:lvlJc w:val="left"/>
      <w:pPr>
        <w:tabs>
          <w:tab w:val="num" w:pos="2880"/>
        </w:tabs>
        <w:ind w:left="2880" w:hanging="360"/>
      </w:pPr>
      <w:rPr>
        <w:rFonts w:ascii="Wingdings" w:hAnsi="Wingdings" w:hint="default"/>
      </w:rPr>
    </w:lvl>
    <w:lvl w:ilvl="4" w:tplc="1F4C17C4" w:tentative="1">
      <w:start w:val="1"/>
      <w:numFmt w:val="bullet"/>
      <w:lvlText w:val=""/>
      <w:lvlJc w:val="left"/>
      <w:pPr>
        <w:tabs>
          <w:tab w:val="num" w:pos="3600"/>
        </w:tabs>
        <w:ind w:left="3600" w:hanging="360"/>
      </w:pPr>
      <w:rPr>
        <w:rFonts w:ascii="Wingdings" w:hAnsi="Wingdings" w:hint="default"/>
      </w:rPr>
    </w:lvl>
    <w:lvl w:ilvl="5" w:tplc="10BEABF6" w:tentative="1">
      <w:start w:val="1"/>
      <w:numFmt w:val="bullet"/>
      <w:lvlText w:val=""/>
      <w:lvlJc w:val="left"/>
      <w:pPr>
        <w:tabs>
          <w:tab w:val="num" w:pos="4320"/>
        </w:tabs>
        <w:ind w:left="4320" w:hanging="360"/>
      </w:pPr>
      <w:rPr>
        <w:rFonts w:ascii="Wingdings" w:hAnsi="Wingdings" w:hint="default"/>
      </w:rPr>
    </w:lvl>
    <w:lvl w:ilvl="6" w:tplc="9D9CE9D6" w:tentative="1">
      <w:start w:val="1"/>
      <w:numFmt w:val="bullet"/>
      <w:lvlText w:val=""/>
      <w:lvlJc w:val="left"/>
      <w:pPr>
        <w:tabs>
          <w:tab w:val="num" w:pos="5040"/>
        </w:tabs>
        <w:ind w:left="5040" w:hanging="360"/>
      </w:pPr>
      <w:rPr>
        <w:rFonts w:ascii="Wingdings" w:hAnsi="Wingdings" w:hint="default"/>
      </w:rPr>
    </w:lvl>
    <w:lvl w:ilvl="7" w:tplc="619AB14A" w:tentative="1">
      <w:start w:val="1"/>
      <w:numFmt w:val="bullet"/>
      <w:lvlText w:val=""/>
      <w:lvlJc w:val="left"/>
      <w:pPr>
        <w:tabs>
          <w:tab w:val="num" w:pos="5760"/>
        </w:tabs>
        <w:ind w:left="5760" w:hanging="360"/>
      </w:pPr>
      <w:rPr>
        <w:rFonts w:ascii="Wingdings" w:hAnsi="Wingdings" w:hint="default"/>
      </w:rPr>
    </w:lvl>
    <w:lvl w:ilvl="8" w:tplc="FCCCC2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500DF"/>
    <w:multiLevelType w:val="hybridMultilevel"/>
    <w:tmpl w:val="18DAA784"/>
    <w:lvl w:ilvl="0" w:tplc="1DC8EF06">
      <w:start w:val="1"/>
      <w:numFmt w:val="bullet"/>
      <w:lvlText w:val=""/>
      <w:lvlJc w:val="left"/>
      <w:pPr>
        <w:tabs>
          <w:tab w:val="num" w:pos="720"/>
        </w:tabs>
        <w:ind w:left="720" w:hanging="360"/>
      </w:pPr>
      <w:rPr>
        <w:rFonts w:ascii="Wingdings" w:hAnsi="Wingdings" w:hint="default"/>
      </w:rPr>
    </w:lvl>
    <w:lvl w:ilvl="1" w:tplc="4C2CC6B4">
      <w:start w:val="1"/>
      <w:numFmt w:val="bullet"/>
      <w:lvlText w:val=""/>
      <w:lvlJc w:val="left"/>
      <w:pPr>
        <w:tabs>
          <w:tab w:val="num" w:pos="1440"/>
        </w:tabs>
        <w:ind w:left="1440" w:hanging="360"/>
      </w:pPr>
      <w:rPr>
        <w:rFonts w:ascii="Wingdings" w:hAnsi="Wingdings" w:hint="default"/>
      </w:rPr>
    </w:lvl>
    <w:lvl w:ilvl="2" w:tplc="6602F518" w:tentative="1">
      <w:start w:val="1"/>
      <w:numFmt w:val="bullet"/>
      <w:lvlText w:val=""/>
      <w:lvlJc w:val="left"/>
      <w:pPr>
        <w:tabs>
          <w:tab w:val="num" w:pos="2160"/>
        </w:tabs>
        <w:ind w:left="2160" w:hanging="360"/>
      </w:pPr>
      <w:rPr>
        <w:rFonts w:ascii="Wingdings" w:hAnsi="Wingdings" w:hint="default"/>
      </w:rPr>
    </w:lvl>
    <w:lvl w:ilvl="3" w:tplc="3312A5D2" w:tentative="1">
      <w:start w:val="1"/>
      <w:numFmt w:val="bullet"/>
      <w:lvlText w:val=""/>
      <w:lvlJc w:val="left"/>
      <w:pPr>
        <w:tabs>
          <w:tab w:val="num" w:pos="2880"/>
        </w:tabs>
        <w:ind w:left="2880" w:hanging="360"/>
      </w:pPr>
      <w:rPr>
        <w:rFonts w:ascii="Wingdings" w:hAnsi="Wingdings" w:hint="default"/>
      </w:rPr>
    </w:lvl>
    <w:lvl w:ilvl="4" w:tplc="D6F8716E" w:tentative="1">
      <w:start w:val="1"/>
      <w:numFmt w:val="bullet"/>
      <w:lvlText w:val=""/>
      <w:lvlJc w:val="left"/>
      <w:pPr>
        <w:tabs>
          <w:tab w:val="num" w:pos="3600"/>
        </w:tabs>
        <w:ind w:left="3600" w:hanging="360"/>
      </w:pPr>
      <w:rPr>
        <w:rFonts w:ascii="Wingdings" w:hAnsi="Wingdings" w:hint="default"/>
      </w:rPr>
    </w:lvl>
    <w:lvl w:ilvl="5" w:tplc="161EBE8E" w:tentative="1">
      <w:start w:val="1"/>
      <w:numFmt w:val="bullet"/>
      <w:lvlText w:val=""/>
      <w:lvlJc w:val="left"/>
      <w:pPr>
        <w:tabs>
          <w:tab w:val="num" w:pos="4320"/>
        </w:tabs>
        <w:ind w:left="4320" w:hanging="360"/>
      </w:pPr>
      <w:rPr>
        <w:rFonts w:ascii="Wingdings" w:hAnsi="Wingdings" w:hint="default"/>
      </w:rPr>
    </w:lvl>
    <w:lvl w:ilvl="6" w:tplc="EA4263AE" w:tentative="1">
      <w:start w:val="1"/>
      <w:numFmt w:val="bullet"/>
      <w:lvlText w:val=""/>
      <w:lvlJc w:val="left"/>
      <w:pPr>
        <w:tabs>
          <w:tab w:val="num" w:pos="5040"/>
        </w:tabs>
        <w:ind w:left="5040" w:hanging="360"/>
      </w:pPr>
      <w:rPr>
        <w:rFonts w:ascii="Wingdings" w:hAnsi="Wingdings" w:hint="default"/>
      </w:rPr>
    </w:lvl>
    <w:lvl w:ilvl="7" w:tplc="86169D28" w:tentative="1">
      <w:start w:val="1"/>
      <w:numFmt w:val="bullet"/>
      <w:lvlText w:val=""/>
      <w:lvlJc w:val="left"/>
      <w:pPr>
        <w:tabs>
          <w:tab w:val="num" w:pos="5760"/>
        </w:tabs>
        <w:ind w:left="5760" w:hanging="360"/>
      </w:pPr>
      <w:rPr>
        <w:rFonts w:ascii="Wingdings" w:hAnsi="Wingdings" w:hint="default"/>
      </w:rPr>
    </w:lvl>
    <w:lvl w:ilvl="8" w:tplc="A0FEBB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92646"/>
    <w:multiLevelType w:val="hybridMultilevel"/>
    <w:tmpl w:val="BABC6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BF5602"/>
    <w:multiLevelType w:val="hybridMultilevel"/>
    <w:tmpl w:val="439E98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9D28EE"/>
    <w:multiLevelType w:val="hybridMultilevel"/>
    <w:tmpl w:val="24DA27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C7060C"/>
    <w:multiLevelType w:val="hybridMultilevel"/>
    <w:tmpl w:val="C53AE42E"/>
    <w:lvl w:ilvl="0" w:tplc="6CD0F788">
      <w:numFmt w:val="bullet"/>
      <w:lvlText w:val="-"/>
      <w:lvlJc w:val="left"/>
      <w:pPr>
        <w:ind w:left="1080" w:hanging="360"/>
      </w:pPr>
      <w:rPr>
        <w:rFonts w:ascii="Calibri" w:eastAsiaTheme="minorHAns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3A"/>
    <w:rsid w:val="00001831"/>
    <w:rsid w:val="000C166B"/>
    <w:rsid w:val="000C31FB"/>
    <w:rsid w:val="000D521B"/>
    <w:rsid w:val="00125EF5"/>
    <w:rsid w:val="0013688C"/>
    <w:rsid w:val="00191713"/>
    <w:rsid w:val="003A03DD"/>
    <w:rsid w:val="003B3A63"/>
    <w:rsid w:val="003C3256"/>
    <w:rsid w:val="00440AB3"/>
    <w:rsid w:val="00456AD5"/>
    <w:rsid w:val="004D62B2"/>
    <w:rsid w:val="004F6A45"/>
    <w:rsid w:val="00521F8F"/>
    <w:rsid w:val="00536FEF"/>
    <w:rsid w:val="00571461"/>
    <w:rsid w:val="005870AB"/>
    <w:rsid w:val="005B50D5"/>
    <w:rsid w:val="005E5572"/>
    <w:rsid w:val="00637EA6"/>
    <w:rsid w:val="0064576A"/>
    <w:rsid w:val="00652483"/>
    <w:rsid w:val="006E0573"/>
    <w:rsid w:val="0076051B"/>
    <w:rsid w:val="007B3FF3"/>
    <w:rsid w:val="007D3AD8"/>
    <w:rsid w:val="007D472F"/>
    <w:rsid w:val="00826F84"/>
    <w:rsid w:val="008B1D9E"/>
    <w:rsid w:val="008E1FEB"/>
    <w:rsid w:val="0091709F"/>
    <w:rsid w:val="00940E3D"/>
    <w:rsid w:val="0094388B"/>
    <w:rsid w:val="00956F81"/>
    <w:rsid w:val="00965373"/>
    <w:rsid w:val="00973CCD"/>
    <w:rsid w:val="00990633"/>
    <w:rsid w:val="00A1624C"/>
    <w:rsid w:val="00A22150"/>
    <w:rsid w:val="00AA2D6F"/>
    <w:rsid w:val="00AA5D93"/>
    <w:rsid w:val="00AB18A5"/>
    <w:rsid w:val="00B622C8"/>
    <w:rsid w:val="00C12481"/>
    <w:rsid w:val="00C87B39"/>
    <w:rsid w:val="00CA0C18"/>
    <w:rsid w:val="00CA49D1"/>
    <w:rsid w:val="00D811AB"/>
    <w:rsid w:val="00E662B6"/>
    <w:rsid w:val="00E73210"/>
    <w:rsid w:val="00EF5994"/>
    <w:rsid w:val="00F13E9F"/>
    <w:rsid w:val="00F42A77"/>
    <w:rsid w:val="00F81647"/>
    <w:rsid w:val="00F9153A"/>
    <w:rsid w:val="00F97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B84B"/>
  <w15:docId w15:val="{60228229-BA99-4C72-9512-DD79537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481"/>
    <w:rPr>
      <w:rFonts w:ascii="Tahoma" w:hAnsi="Tahoma" w:cs="Tahoma"/>
      <w:sz w:val="16"/>
      <w:szCs w:val="16"/>
    </w:rPr>
  </w:style>
  <w:style w:type="paragraph" w:styleId="Paragraphedeliste">
    <w:name w:val="List Paragraph"/>
    <w:basedOn w:val="Normal"/>
    <w:uiPriority w:val="34"/>
    <w:qFormat/>
    <w:rsid w:val="00571461"/>
    <w:pPr>
      <w:ind w:left="720"/>
      <w:contextualSpacing/>
    </w:pPr>
  </w:style>
  <w:style w:type="paragraph" w:styleId="En-tte">
    <w:name w:val="header"/>
    <w:basedOn w:val="Normal"/>
    <w:link w:val="En-tteCar"/>
    <w:uiPriority w:val="99"/>
    <w:unhideWhenUsed/>
    <w:rsid w:val="00956F81"/>
    <w:pPr>
      <w:tabs>
        <w:tab w:val="center" w:pos="4536"/>
        <w:tab w:val="right" w:pos="9072"/>
      </w:tabs>
      <w:spacing w:after="0" w:line="240" w:lineRule="auto"/>
    </w:pPr>
  </w:style>
  <w:style w:type="character" w:customStyle="1" w:styleId="En-tteCar">
    <w:name w:val="En-tête Car"/>
    <w:basedOn w:val="Policepardfaut"/>
    <w:link w:val="En-tte"/>
    <w:uiPriority w:val="99"/>
    <w:rsid w:val="00956F81"/>
  </w:style>
  <w:style w:type="paragraph" w:styleId="Pieddepage">
    <w:name w:val="footer"/>
    <w:basedOn w:val="Normal"/>
    <w:link w:val="PieddepageCar"/>
    <w:uiPriority w:val="99"/>
    <w:unhideWhenUsed/>
    <w:rsid w:val="00956F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F81"/>
  </w:style>
  <w:style w:type="character" w:styleId="Marquedecommentaire">
    <w:name w:val="annotation reference"/>
    <w:basedOn w:val="Policepardfaut"/>
    <w:uiPriority w:val="99"/>
    <w:semiHidden/>
    <w:unhideWhenUsed/>
    <w:rsid w:val="000C31FB"/>
    <w:rPr>
      <w:sz w:val="16"/>
      <w:szCs w:val="16"/>
    </w:rPr>
  </w:style>
  <w:style w:type="paragraph" w:styleId="Commentaire">
    <w:name w:val="annotation text"/>
    <w:basedOn w:val="Normal"/>
    <w:link w:val="CommentaireCar"/>
    <w:uiPriority w:val="99"/>
    <w:semiHidden/>
    <w:unhideWhenUsed/>
    <w:rsid w:val="000C31FB"/>
    <w:pPr>
      <w:spacing w:line="240" w:lineRule="auto"/>
    </w:pPr>
    <w:rPr>
      <w:sz w:val="20"/>
      <w:szCs w:val="20"/>
    </w:rPr>
  </w:style>
  <w:style w:type="character" w:customStyle="1" w:styleId="CommentaireCar">
    <w:name w:val="Commentaire Car"/>
    <w:basedOn w:val="Policepardfaut"/>
    <w:link w:val="Commentaire"/>
    <w:uiPriority w:val="99"/>
    <w:semiHidden/>
    <w:rsid w:val="000C31FB"/>
    <w:rPr>
      <w:sz w:val="20"/>
      <w:szCs w:val="20"/>
    </w:rPr>
  </w:style>
  <w:style w:type="paragraph" w:styleId="Objetducommentaire">
    <w:name w:val="annotation subject"/>
    <w:basedOn w:val="Commentaire"/>
    <w:next w:val="Commentaire"/>
    <w:link w:val="ObjetducommentaireCar"/>
    <w:uiPriority w:val="99"/>
    <w:semiHidden/>
    <w:unhideWhenUsed/>
    <w:rsid w:val="000C31FB"/>
    <w:rPr>
      <w:b/>
      <w:bCs/>
    </w:rPr>
  </w:style>
  <w:style w:type="character" w:customStyle="1" w:styleId="ObjetducommentaireCar">
    <w:name w:val="Objet du commentaire Car"/>
    <w:basedOn w:val="CommentaireCar"/>
    <w:link w:val="Objetducommentaire"/>
    <w:uiPriority w:val="99"/>
    <w:semiHidden/>
    <w:rsid w:val="000C31FB"/>
    <w:rPr>
      <w:b/>
      <w:bCs/>
      <w:sz w:val="20"/>
      <w:szCs w:val="20"/>
    </w:rPr>
  </w:style>
  <w:style w:type="table" w:styleId="Grilledutableau">
    <w:name w:val="Table Grid"/>
    <w:basedOn w:val="TableauNormal"/>
    <w:uiPriority w:val="59"/>
    <w:rsid w:val="00A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830">
      <w:bodyDiv w:val="1"/>
      <w:marLeft w:val="0"/>
      <w:marRight w:val="0"/>
      <w:marTop w:val="0"/>
      <w:marBottom w:val="0"/>
      <w:divBdr>
        <w:top w:val="none" w:sz="0" w:space="0" w:color="auto"/>
        <w:left w:val="none" w:sz="0" w:space="0" w:color="auto"/>
        <w:bottom w:val="none" w:sz="0" w:space="0" w:color="auto"/>
        <w:right w:val="none" w:sz="0" w:space="0" w:color="auto"/>
      </w:divBdr>
      <w:divsChild>
        <w:div w:id="1131170685">
          <w:marLeft w:val="1166"/>
          <w:marRight w:val="0"/>
          <w:marTop w:val="72"/>
          <w:marBottom w:val="0"/>
          <w:divBdr>
            <w:top w:val="none" w:sz="0" w:space="0" w:color="auto"/>
            <w:left w:val="none" w:sz="0" w:space="0" w:color="auto"/>
            <w:bottom w:val="none" w:sz="0" w:space="0" w:color="auto"/>
            <w:right w:val="none" w:sz="0" w:space="0" w:color="auto"/>
          </w:divBdr>
        </w:div>
      </w:divsChild>
    </w:div>
    <w:div w:id="388890881">
      <w:bodyDiv w:val="1"/>
      <w:marLeft w:val="0"/>
      <w:marRight w:val="0"/>
      <w:marTop w:val="0"/>
      <w:marBottom w:val="0"/>
      <w:divBdr>
        <w:top w:val="none" w:sz="0" w:space="0" w:color="auto"/>
        <w:left w:val="none" w:sz="0" w:space="0" w:color="auto"/>
        <w:bottom w:val="none" w:sz="0" w:space="0" w:color="auto"/>
        <w:right w:val="none" w:sz="0" w:space="0" w:color="auto"/>
      </w:divBdr>
      <w:divsChild>
        <w:div w:id="1189222205">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VFILER1.ac.intranet.sante.gouv.fr\DSScommun$\SD1\1C\Dispositifs%20M&#233;dicaux\02%20-%20CEPS%20DM\3.%20Baisses%20des%20tarifs\Baisse%202020\PERFADOM%202020\Chiffrages\PERFADOM%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fr-FR" sz="1200"/>
              <a:t>Evolution dépenses</a:t>
            </a:r>
            <a:r>
              <a:rPr lang="fr-FR" sz="1200" baseline="0"/>
              <a:t> remboursées perfusion à domicile 2013-2018</a:t>
            </a:r>
            <a:endParaRPr lang="fr-FR" sz="1200"/>
          </a:p>
        </c:rich>
      </c:tx>
      <c:layout>
        <c:manualLayout>
          <c:xMode val="edge"/>
          <c:yMode val="edge"/>
          <c:x val="0.13669825876129602"/>
          <c:y val="0"/>
        </c:manualLayout>
      </c:layout>
      <c:overlay val="0"/>
    </c:title>
    <c:autoTitleDeleted val="0"/>
    <c:plotArea>
      <c:layout>
        <c:manualLayout>
          <c:layoutTarget val="inner"/>
          <c:xMode val="edge"/>
          <c:yMode val="edge"/>
          <c:x val="0.14021832498210454"/>
          <c:y val="0.14399314668999708"/>
          <c:w val="0.52978917408051263"/>
          <c:h val="0.74002697579469234"/>
        </c:manualLayout>
      </c:layout>
      <c:barChart>
        <c:barDir val="col"/>
        <c:grouping val="clustered"/>
        <c:varyColors val="0"/>
        <c:ser>
          <c:idx val="0"/>
          <c:order val="0"/>
          <c:tx>
            <c:strRef>
              <c:f>Feuil5!$D$4</c:f>
              <c:strCache>
                <c:ptCount val="1"/>
                <c:pt idx="0">
                  <c:v>Dépense remboursée</c:v>
                </c:pt>
              </c:strCache>
            </c:strRef>
          </c:tx>
          <c:invertIfNegative val="0"/>
          <c:cat>
            <c:strRef>
              <c:f>Feuil5!$E$3:$J$3</c:f>
              <c:strCache>
                <c:ptCount val="6"/>
                <c:pt idx="0">
                  <c:v>2013</c:v>
                </c:pt>
                <c:pt idx="1">
                  <c:v>2014</c:v>
                </c:pt>
                <c:pt idx="2">
                  <c:v>2015</c:v>
                </c:pt>
                <c:pt idx="3">
                  <c:v>2016</c:v>
                </c:pt>
                <c:pt idx="4">
                  <c:v>2017</c:v>
                </c:pt>
                <c:pt idx="5">
                  <c:v>2018</c:v>
                </c:pt>
              </c:strCache>
            </c:strRef>
          </c:cat>
          <c:val>
            <c:numRef>
              <c:f>Feuil5!$E$4:$J$4</c:f>
              <c:numCache>
                <c:formatCode>#,##0,," M€"</c:formatCode>
                <c:ptCount val="6"/>
                <c:pt idx="0">
                  <c:v>256418894.77381021</c:v>
                </c:pt>
                <c:pt idx="1">
                  <c:v>259015765.49674761</c:v>
                </c:pt>
                <c:pt idx="2">
                  <c:v>256634023.04246572</c:v>
                </c:pt>
                <c:pt idx="3">
                  <c:v>278694811.44383562</c:v>
                </c:pt>
                <c:pt idx="4">
                  <c:v>305534004.32328808</c:v>
                </c:pt>
                <c:pt idx="5">
                  <c:v>324671069.17973042</c:v>
                </c:pt>
              </c:numCache>
            </c:numRef>
          </c:val>
          <c:extLst>
            <c:ext xmlns:c16="http://schemas.microsoft.com/office/drawing/2014/chart" uri="{C3380CC4-5D6E-409C-BE32-E72D297353CC}">
              <c16:uniqueId val="{00000000-6CAA-4620-80B3-501E62642668}"/>
            </c:ext>
          </c:extLst>
        </c:ser>
        <c:dLbls>
          <c:showLegendKey val="0"/>
          <c:showVal val="0"/>
          <c:showCatName val="0"/>
          <c:showSerName val="0"/>
          <c:showPercent val="0"/>
          <c:showBubbleSize val="0"/>
        </c:dLbls>
        <c:gapWidth val="150"/>
        <c:axId val="99779328"/>
        <c:axId val="99780864"/>
      </c:barChart>
      <c:lineChart>
        <c:grouping val="standard"/>
        <c:varyColors val="0"/>
        <c:ser>
          <c:idx val="1"/>
          <c:order val="1"/>
          <c:tx>
            <c:strRef>
              <c:f>Feuil5!$D$5</c:f>
              <c:strCache>
                <c:ptCount val="1"/>
                <c:pt idx="0">
                  <c:v>Progression année n+1/n en %</c:v>
                </c:pt>
              </c:strCache>
            </c:strRef>
          </c:tx>
          <c:marker>
            <c:symbol val="none"/>
          </c:marker>
          <c:cat>
            <c:strRef>
              <c:f>Feuil5!$E$3:$J$3</c:f>
              <c:strCache>
                <c:ptCount val="6"/>
                <c:pt idx="0">
                  <c:v>2013</c:v>
                </c:pt>
                <c:pt idx="1">
                  <c:v>2014</c:v>
                </c:pt>
                <c:pt idx="2">
                  <c:v>2015</c:v>
                </c:pt>
                <c:pt idx="3">
                  <c:v>2016</c:v>
                </c:pt>
                <c:pt idx="4">
                  <c:v>2017</c:v>
                </c:pt>
                <c:pt idx="5">
                  <c:v>2018</c:v>
                </c:pt>
              </c:strCache>
            </c:strRef>
          </c:cat>
          <c:val>
            <c:numRef>
              <c:f>Feuil5!$E$5:$J$5</c:f>
              <c:numCache>
                <c:formatCode>0.0%</c:formatCode>
                <c:ptCount val="6"/>
                <c:pt idx="1">
                  <c:v>1.0127454629379473E-2</c:v>
                </c:pt>
                <c:pt idx="2">
                  <c:v>-9.195357084593403E-3</c:v>
                </c:pt>
                <c:pt idx="3">
                  <c:v>8.5962056549764077E-2</c:v>
                </c:pt>
                <c:pt idx="4">
                  <c:v>9.630316668045058E-2</c:v>
                </c:pt>
                <c:pt idx="5">
                  <c:v>6.26348117906812E-2</c:v>
                </c:pt>
              </c:numCache>
            </c:numRef>
          </c:val>
          <c:smooth val="0"/>
          <c:extLst>
            <c:ext xmlns:c16="http://schemas.microsoft.com/office/drawing/2014/chart" uri="{C3380CC4-5D6E-409C-BE32-E72D297353CC}">
              <c16:uniqueId val="{00000001-6CAA-4620-80B3-501E62642668}"/>
            </c:ext>
          </c:extLst>
        </c:ser>
        <c:dLbls>
          <c:showLegendKey val="0"/>
          <c:showVal val="0"/>
          <c:showCatName val="0"/>
          <c:showSerName val="0"/>
          <c:showPercent val="0"/>
          <c:showBubbleSize val="0"/>
        </c:dLbls>
        <c:marker val="1"/>
        <c:smooth val="0"/>
        <c:axId val="99792384"/>
        <c:axId val="99790848"/>
      </c:lineChart>
      <c:catAx>
        <c:axId val="99779328"/>
        <c:scaling>
          <c:orientation val="minMax"/>
        </c:scaling>
        <c:delete val="0"/>
        <c:axPos val="b"/>
        <c:numFmt formatCode="General" sourceLinked="0"/>
        <c:majorTickMark val="out"/>
        <c:minorTickMark val="none"/>
        <c:tickLblPos val="nextTo"/>
        <c:crossAx val="99780864"/>
        <c:crosses val="autoZero"/>
        <c:auto val="1"/>
        <c:lblAlgn val="ctr"/>
        <c:lblOffset val="100"/>
        <c:noMultiLvlLbl val="0"/>
      </c:catAx>
      <c:valAx>
        <c:axId val="99780864"/>
        <c:scaling>
          <c:orientation val="minMax"/>
          <c:min val="200000000"/>
        </c:scaling>
        <c:delete val="0"/>
        <c:axPos val="l"/>
        <c:majorGridlines/>
        <c:numFmt formatCode="#,##0,,&quot; M€&quot;" sourceLinked="1"/>
        <c:majorTickMark val="out"/>
        <c:minorTickMark val="none"/>
        <c:tickLblPos val="nextTo"/>
        <c:crossAx val="99779328"/>
        <c:crosses val="autoZero"/>
        <c:crossBetween val="between"/>
      </c:valAx>
      <c:valAx>
        <c:axId val="99790848"/>
        <c:scaling>
          <c:orientation val="minMax"/>
        </c:scaling>
        <c:delete val="0"/>
        <c:axPos val="r"/>
        <c:numFmt formatCode="0.0%" sourceLinked="1"/>
        <c:majorTickMark val="out"/>
        <c:minorTickMark val="none"/>
        <c:tickLblPos val="nextTo"/>
        <c:crossAx val="99792384"/>
        <c:crosses val="max"/>
        <c:crossBetween val="between"/>
      </c:valAx>
      <c:catAx>
        <c:axId val="99792384"/>
        <c:scaling>
          <c:orientation val="minMax"/>
        </c:scaling>
        <c:delete val="1"/>
        <c:axPos val="b"/>
        <c:numFmt formatCode="General" sourceLinked="1"/>
        <c:majorTickMark val="out"/>
        <c:minorTickMark val="none"/>
        <c:tickLblPos val="nextTo"/>
        <c:crossAx val="99790848"/>
        <c:crosses val="autoZero"/>
        <c:auto val="1"/>
        <c:lblAlgn val="ctr"/>
        <c:lblOffset val="100"/>
        <c:noMultiLvlLbl val="0"/>
      </c:catAx>
    </c:plotArea>
    <c:legend>
      <c:legendPos val="r"/>
      <c:layout>
        <c:manualLayout>
          <c:xMode val="edge"/>
          <c:yMode val="edge"/>
          <c:x val="0.77752547976957431"/>
          <c:y val="0.30980132691746864"/>
          <c:w val="0.20161895939478153"/>
          <c:h val="0.34336030912802568"/>
        </c:manualLayout>
      </c:layout>
      <c:overlay val="0"/>
      <c:txPr>
        <a:bodyPr/>
        <a:lstStyle/>
        <a:p>
          <a:pPr>
            <a:defRPr sz="800"/>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SEBAN, Igor (DSS/SD1 FINANCEMENT DU SYSTEME DE SOINS/1C)</dc:creator>
  <cp:lastModifiedBy>VOROS, Magali (DSS/SD1 FINANCEMENT DU SYSTEME DE SOINS/MGRMC)</cp:lastModifiedBy>
  <cp:revision>6</cp:revision>
  <dcterms:created xsi:type="dcterms:W3CDTF">2020-01-13T16:33:00Z</dcterms:created>
  <dcterms:modified xsi:type="dcterms:W3CDTF">2020-01-27T16:59:00Z</dcterms:modified>
</cp:coreProperties>
</file>