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36A" w:rsidRPr="005F0E35" w:rsidRDefault="0078636A" w:rsidP="0078636A">
      <w:pPr>
        <w:spacing w:before="0"/>
        <w:jc w:val="center"/>
        <w:rPr>
          <w:rFonts w:asciiTheme="minorHAnsi" w:eastAsia="Times New Roman" w:hAnsiTheme="minorHAnsi"/>
          <w:b/>
          <w:color w:val="000000"/>
          <w:szCs w:val="20"/>
          <w:lang w:eastAsia="fr-FR"/>
        </w:rPr>
      </w:pPr>
      <w:r w:rsidRPr="005F0E35">
        <w:rPr>
          <w:rFonts w:asciiTheme="minorHAnsi" w:eastAsia="Times New Roman" w:hAnsiTheme="minorHAnsi"/>
          <w:b/>
          <w:color w:val="000000"/>
          <w:szCs w:val="20"/>
          <w:lang w:eastAsia="fr-FR"/>
        </w:rPr>
        <w:t>FICHE INDICATEURS EXAMENS PRE ANESTHESIQUES - CAQES</w:t>
      </w:r>
    </w:p>
    <w:p w:rsidR="0078636A" w:rsidRPr="005F0E35" w:rsidRDefault="0078636A" w:rsidP="0078636A">
      <w:pPr>
        <w:spacing w:before="0"/>
        <w:rPr>
          <w:rFonts w:asciiTheme="minorHAnsi" w:eastAsia="Times New Roman" w:hAnsiTheme="minorHAnsi"/>
          <w:color w:val="000000"/>
          <w:sz w:val="20"/>
          <w:szCs w:val="20"/>
          <w:lang w:eastAsia="fr-FR"/>
        </w:rPr>
      </w:pPr>
    </w:p>
    <w:p w:rsidR="00FF5D25" w:rsidRPr="005F0E35" w:rsidRDefault="00176A02" w:rsidP="0078636A">
      <w:pPr>
        <w:spacing w:before="0"/>
        <w:rPr>
          <w:rFonts w:asciiTheme="minorHAnsi" w:eastAsia="Times New Roman" w:hAnsiTheme="minorHAnsi"/>
          <w:color w:val="000000"/>
          <w:sz w:val="20"/>
          <w:szCs w:val="20"/>
          <w:lang w:eastAsia="fr-FR"/>
        </w:rPr>
      </w:pPr>
      <w:r>
        <w:rPr>
          <w:rFonts w:asciiTheme="minorHAnsi" w:eastAsia="Times New Roman" w:hAnsiTheme="minorHAnsi"/>
          <w:color w:val="000000"/>
          <w:sz w:val="20"/>
          <w:szCs w:val="20"/>
          <w:lang w:eastAsia="fr-FR"/>
        </w:rPr>
        <w:pict>
          <v:rect id="_x0000_i1025" style="width:471.95pt;height:2pt" o:hralign="center" o:hrstd="t" o:hrnoshade="t" o:hr="t" fillcolor="#1f497d [3215]" stroked="f"/>
        </w:pict>
      </w:r>
    </w:p>
    <w:p w:rsidR="00FF5D25" w:rsidRPr="005F0E35" w:rsidRDefault="00FF5D25" w:rsidP="0078636A">
      <w:pPr>
        <w:spacing w:before="0"/>
        <w:rPr>
          <w:rFonts w:asciiTheme="minorHAnsi" w:eastAsia="Times New Roman" w:hAnsiTheme="minorHAnsi"/>
          <w:color w:val="000000"/>
          <w:sz w:val="20"/>
          <w:szCs w:val="20"/>
          <w:lang w:eastAsia="fr-FR"/>
        </w:rPr>
      </w:pPr>
    </w:p>
    <w:p w:rsidR="00FF5D25" w:rsidRPr="005F0E35" w:rsidRDefault="00FF5D25" w:rsidP="0078636A">
      <w:pPr>
        <w:spacing w:before="0"/>
        <w:rPr>
          <w:rFonts w:asciiTheme="minorHAnsi" w:eastAsia="Times New Roman" w:hAnsiTheme="minorHAnsi"/>
          <w:color w:val="000000"/>
          <w:sz w:val="20"/>
          <w:szCs w:val="20"/>
          <w:lang w:eastAsia="fr-FR"/>
        </w:rPr>
      </w:pPr>
    </w:p>
    <w:p w:rsidR="0078636A" w:rsidRPr="005F0E35" w:rsidRDefault="0078636A" w:rsidP="0078636A">
      <w:pPr>
        <w:spacing w:before="0"/>
        <w:rPr>
          <w:rFonts w:asciiTheme="minorHAnsi" w:eastAsia="Times New Roman" w:hAnsiTheme="minorHAnsi"/>
          <w:b/>
          <w:color w:val="000000"/>
          <w:sz w:val="20"/>
          <w:szCs w:val="20"/>
          <w:lang w:eastAsia="fr-FR"/>
        </w:rPr>
      </w:pPr>
      <w:r w:rsidRPr="005F0E35">
        <w:rPr>
          <w:rFonts w:asciiTheme="minorHAnsi" w:eastAsia="Times New Roman" w:hAnsiTheme="minorHAnsi"/>
          <w:b/>
          <w:color w:val="000000"/>
          <w:sz w:val="20"/>
          <w:szCs w:val="20"/>
          <w:lang w:eastAsia="fr-FR"/>
        </w:rPr>
        <w:t xml:space="preserve">Contexte </w:t>
      </w:r>
    </w:p>
    <w:p w:rsidR="00FF5D25" w:rsidRPr="005F0E35" w:rsidRDefault="00FF5D25" w:rsidP="0078636A">
      <w:pPr>
        <w:spacing w:before="0"/>
        <w:rPr>
          <w:rFonts w:asciiTheme="minorHAnsi" w:eastAsia="Times New Roman" w:hAnsiTheme="minorHAnsi"/>
          <w:b/>
          <w:color w:val="000000"/>
          <w:sz w:val="20"/>
          <w:szCs w:val="20"/>
          <w:lang w:eastAsia="fr-FR"/>
        </w:rPr>
      </w:pPr>
    </w:p>
    <w:p w:rsidR="0078636A" w:rsidRPr="005F0E35" w:rsidRDefault="00287C39" w:rsidP="0078636A">
      <w:pPr>
        <w:spacing w:before="0"/>
        <w:rPr>
          <w:rFonts w:asciiTheme="minorHAnsi" w:eastAsia="Times New Roman" w:hAnsiTheme="minorHAnsi"/>
          <w:color w:val="000000"/>
          <w:sz w:val="20"/>
          <w:szCs w:val="20"/>
          <w:lang w:eastAsia="fr-FR"/>
        </w:rPr>
      </w:pPr>
      <w:r w:rsidRPr="005F0E35">
        <w:rPr>
          <w:rFonts w:asciiTheme="minorHAnsi" w:eastAsia="Times New Roman" w:hAnsiTheme="minorHAnsi"/>
          <w:color w:val="000000"/>
          <w:sz w:val="20"/>
          <w:szCs w:val="20"/>
          <w:lang w:eastAsia="fr-FR"/>
        </w:rPr>
        <w:t>En 2012, la Société Française d’Anesthésie et de Réanimation (SFAR) a actualisé son référentiel sur les examens pré-anesthésiques. Elle y définit les situations dans lesquelles ces examens sont non pertinents, c’est-à-dire inutiles et non nécessaires à la bonne prise en charge du patient. L’analyse des pratiques à partir des données du SNDS</w:t>
      </w:r>
      <w:r w:rsidR="001B1FE7" w:rsidRPr="005F0E35">
        <w:rPr>
          <w:rFonts w:asciiTheme="minorHAnsi" w:eastAsia="Times New Roman" w:hAnsiTheme="minorHAnsi"/>
          <w:color w:val="000000"/>
          <w:sz w:val="20"/>
          <w:szCs w:val="20"/>
          <w:lang w:eastAsia="fr-FR"/>
        </w:rPr>
        <w:t xml:space="preserve"> a montré la persistance d’actes et d’examens inutiles prescrits lors de la préparation des patients à une intervention avec anesthésie. En particulier, un bilan d’hémostase était prescrit à tort pour 22% des interventions chirurgicales chez l’adulte. </w:t>
      </w:r>
      <w:r w:rsidR="00BA193B" w:rsidRPr="005F0E35">
        <w:rPr>
          <w:rFonts w:asciiTheme="minorHAnsi" w:eastAsia="Times New Roman" w:hAnsiTheme="minorHAnsi"/>
          <w:color w:val="000000"/>
          <w:sz w:val="20"/>
          <w:szCs w:val="20"/>
          <w:lang w:eastAsia="fr-FR"/>
        </w:rPr>
        <w:t xml:space="preserve">Ainsi </w:t>
      </w:r>
      <w:r w:rsidRPr="005F0E35">
        <w:rPr>
          <w:rFonts w:asciiTheme="minorHAnsi" w:eastAsia="Times New Roman" w:hAnsiTheme="minorHAnsi"/>
          <w:color w:val="000000"/>
          <w:sz w:val="20"/>
          <w:szCs w:val="20"/>
          <w:lang w:eastAsia="fr-FR"/>
        </w:rPr>
        <w:t xml:space="preserve">3.9 millions des examens pré anesthésiques réalisés n’étaient pas pertinents, pour un montant financier de 28 millions d’euros, dont 20 millions à la charge de l’assurance maladie. </w:t>
      </w:r>
      <w:r w:rsidR="008916EA" w:rsidRPr="005F0E35">
        <w:rPr>
          <w:rFonts w:asciiTheme="minorHAnsi" w:eastAsia="Times New Roman" w:hAnsiTheme="minorHAnsi"/>
          <w:color w:val="000000"/>
          <w:sz w:val="20"/>
          <w:szCs w:val="20"/>
          <w:lang w:eastAsia="fr-FR"/>
        </w:rPr>
        <w:t>Une amélioration de la pertinence de ces prescriptions peut contribuer à la qualité des prises en charge et à la maitrise des dépenses pour l’Assurance Maladie. Elle constitue un objectif prioritaire national pour 2020 dans le cadre de la contractualisation du CAQES pour les établissements ciblés qui donnera lieu à intéressement.</w:t>
      </w:r>
    </w:p>
    <w:p w:rsidR="00FF5D25" w:rsidRDefault="00FF5D25" w:rsidP="0078636A">
      <w:pPr>
        <w:spacing w:before="0"/>
        <w:rPr>
          <w:rFonts w:asciiTheme="minorHAnsi" w:eastAsia="Times New Roman" w:hAnsiTheme="minorHAnsi"/>
          <w:color w:val="000000"/>
          <w:sz w:val="20"/>
          <w:szCs w:val="20"/>
          <w:lang w:eastAsia="fr-FR"/>
        </w:rPr>
      </w:pPr>
    </w:p>
    <w:p w:rsidR="002B3731" w:rsidRPr="005F0E35" w:rsidRDefault="002B3731" w:rsidP="0078636A">
      <w:pPr>
        <w:spacing w:before="0"/>
        <w:rPr>
          <w:rFonts w:asciiTheme="minorHAnsi" w:eastAsia="Times New Roman" w:hAnsiTheme="minorHAnsi"/>
          <w:color w:val="000000"/>
          <w:sz w:val="20"/>
          <w:szCs w:val="20"/>
          <w:lang w:eastAsia="fr-FR"/>
        </w:rPr>
      </w:pPr>
    </w:p>
    <w:p w:rsidR="0078636A" w:rsidRPr="005F0E35" w:rsidRDefault="0078636A" w:rsidP="0078636A">
      <w:pPr>
        <w:spacing w:before="0"/>
        <w:rPr>
          <w:rFonts w:asciiTheme="minorHAnsi" w:eastAsia="Times New Roman" w:hAnsiTheme="minorHAnsi"/>
          <w:b/>
          <w:color w:val="000000"/>
          <w:sz w:val="20"/>
          <w:szCs w:val="20"/>
          <w:lang w:eastAsia="fr-FR"/>
        </w:rPr>
      </w:pPr>
      <w:r w:rsidRPr="005F0E35">
        <w:rPr>
          <w:rFonts w:asciiTheme="minorHAnsi" w:eastAsia="Times New Roman" w:hAnsiTheme="minorHAnsi"/>
          <w:b/>
          <w:color w:val="000000"/>
          <w:sz w:val="20"/>
          <w:szCs w:val="20"/>
          <w:lang w:eastAsia="fr-FR"/>
        </w:rPr>
        <w:t xml:space="preserve">Objectifs </w:t>
      </w:r>
    </w:p>
    <w:p w:rsidR="00E02FD4" w:rsidRDefault="00E02FD4" w:rsidP="001F5058">
      <w:pPr>
        <w:spacing w:before="0"/>
        <w:rPr>
          <w:rFonts w:asciiTheme="minorHAnsi" w:eastAsia="Times New Roman" w:hAnsiTheme="minorHAnsi"/>
          <w:color w:val="000000"/>
          <w:sz w:val="20"/>
          <w:szCs w:val="20"/>
          <w:lang w:eastAsia="fr-FR"/>
        </w:rPr>
      </w:pPr>
    </w:p>
    <w:p w:rsidR="001F5058" w:rsidRPr="001F5058" w:rsidRDefault="005F0E35" w:rsidP="001F5058">
      <w:pPr>
        <w:spacing w:before="0"/>
        <w:rPr>
          <w:rFonts w:asciiTheme="minorHAnsi" w:eastAsia="Times New Roman" w:hAnsiTheme="minorHAnsi"/>
          <w:color w:val="000000"/>
          <w:sz w:val="20"/>
          <w:szCs w:val="20"/>
          <w:lang w:eastAsia="fr-FR"/>
        </w:rPr>
      </w:pPr>
      <w:r>
        <w:rPr>
          <w:rFonts w:asciiTheme="minorHAnsi" w:eastAsia="Times New Roman" w:hAnsiTheme="minorHAnsi"/>
          <w:color w:val="000000"/>
          <w:sz w:val="20"/>
          <w:szCs w:val="20"/>
          <w:lang w:eastAsia="fr-FR"/>
        </w:rPr>
        <w:t xml:space="preserve">Les </w:t>
      </w:r>
      <w:r w:rsidRPr="005F0E35">
        <w:rPr>
          <w:rFonts w:asciiTheme="minorHAnsi" w:eastAsia="Times New Roman" w:hAnsiTheme="minorHAnsi"/>
          <w:color w:val="000000"/>
          <w:sz w:val="20"/>
          <w:szCs w:val="20"/>
          <w:lang w:eastAsia="fr-FR"/>
        </w:rPr>
        <w:t>écarts aux recommandations au niveau national et la variabilité des pratiques selon les territoires et entre établissements</w:t>
      </w:r>
      <w:r>
        <w:rPr>
          <w:rFonts w:asciiTheme="minorHAnsi" w:eastAsia="Times New Roman" w:hAnsiTheme="minorHAnsi"/>
          <w:color w:val="000000"/>
          <w:sz w:val="20"/>
          <w:szCs w:val="20"/>
          <w:lang w:eastAsia="fr-FR"/>
        </w:rPr>
        <w:t xml:space="preserve"> ont motivé l’initiation d’actions de communication et de sensibilisation des établissements par l’assurance maladie et la SFAR dès 2015. Ces actions se sont traduites par une </w:t>
      </w:r>
      <w:r w:rsidRPr="005F0E35">
        <w:rPr>
          <w:rFonts w:asciiTheme="minorHAnsi" w:eastAsia="Times New Roman" w:hAnsiTheme="minorHAnsi"/>
          <w:color w:val="000000"/>
          <w:sz w:val="20"/>
          <w:szCs w:val="20"/>
          <w:lang w:eastAsia="fr-FR"/>
        </w:rPr>
        <w:t xml:space="preserve">baisse des taux nationaux d’environ 1 point par an, témoignant d’une faible amélioration de la pertinence des prescriptions des examens pré-anesthésiques </w:t>
      </w:r>
      <w:r>
        <w:rPr>
          <w:rFonts w:asciiTheme="minorHAnsi" w:eastAsia="Times New Roman" w:hAnsiTheme="minorHAnsi"/>
          <w:color w:val="000000"/>
          <w:sz w:val="20"/>
          <w:szCs w:val="20"/>
          <w:lang w:eastAsia="fr-FR"/>
        </w:rPr>
        <w:t>entre 2015 et 2017.</w:t>
      </w:r>
      <w:r w:rsidR="001F5058">
        <w:rPr>
          <w:rFonts w:asciiTheme="minorHAnsi" w:eastAsia="Times New Roman" w:hAnsiTheme="minorHAnsi"/>
          <w:color w:val="000000"/>
          <w:sz w:val="20"/>
          <w:szCs w:val="20"/>
          <w:lang w:eastAsia="fr-FR"/>
        </w:rPr>
        <w:t xml:space="preserve"> </w:t>
      </w:r>
    </w:p>
    <w:p w:rsidR="0078636A" w:rsidRDefault="0078636A" w:rsidP="0078636A">
      <w:pPr>
        <w:spacing w:before="0"/>
        <w:rPr>
          <w:rFonts w:asciiTheme="minorHAnsi" w:eastAsia="Times New Roman" w:hAnsiTheme="minorHAnsi"/>
          <w:color w:val="000000"/>
          <w:sz w:val="20"/>
          <w:szCs w:val="20"/>
          <w:lang w:eastAsia="fr-FR"/>
        </w:rPr>
      </w:pPr>
    </w:p>
    <w:p w:rsidR="001F5058" w:rsidRDefault="005F0E35" w:rsidP="0078636A">
      <w:pPr>
        <w:spacing w:before="0"/>
        <w:rPr>
          <w:rFonts w:asciiTheme="minorHAnsi" w:eastAsia="Times New Roman" w:hAnsiTheme="minorHAnsi"/>
          <w:color w:val="000000"/>
          <w:sz w:val="20"/>
          <w:szCs w:val="20"/>
          <w:lang w:eastAsia="fr-FR"/>
        </w:rPr>
      </w:pPr>
      <w:r>
        <w:rPr>
          <w:rFonts w:asciiTheme="minorHAnsi" w:eastAsia="Times New Roman" w:hAnsiTheme="minorHAnsi"/>
          <w:color w:val="000000"/>
          <w:sz w:val="20"/>
          <w:szCs w:val="20"/>
          <w:lang w:eastAsia="fr-FR"/>
        </w:rPr>
        <w:t xml:space="preserve">Une action mettant en place des indicateurs cibles par établissement apparait </w:t>
      </w:r>
      <w:r w:rsidR="001F5058">
        <w:rPr>
          <w:rFonts w:asciiTheme="minorHAnsi" w:eastAsia="Times New Roman" w:hAnsiTheme="minorHAnsi"/>
          <w:color w:val="000000"/>
          <w:sz w:val="20"/>
          <w:szCs w:val="20"/>
          <w:lang w:eastAsia="fr-FR"/>
        </w:rPr>
        <w:t>plus efficiente que les campagnes de sensibilisation.</w:t>
      </w:r>
      <w:r w:rsidR="002B3731">
        <w:rPr>
          <w:rFonts w:asciiTheme="minorHAnsi" w:eastAsia="Times New Roman" w:hAnsiTheme="minorHAnsi"/>
          <w:color w:val="000000"/>
          <w:sz w:val="20"/>
          <w:szCs w:val="20"/>
          <w:lang w:eastAsia="fr-FR"/>
        </w:rPr>
        <w:t xml:space="preserve"> </w:t>
      </w:r>
      <w:r w:rsidR="001F5058">
        <w:rPr>
          <w:rFonts w:asciiTheme="minorHAnsi" w:eastAsia="Times New Roman" w:hAnsiTheme="minorHAnsi"/>
          <w:color w:val="000000"/>
          <w:sz w:val="20"/>
          <w:szCs w:val="20"/>
          <w:lang w:eastAsia="fr-FR"/>
        </w:rPr>
        <w:t>Un indicateur composite couplé à une incitation financière, pour les établissements à l’atteinte de la cible est introduit dans le nouveau dispositif CAQES.</w:t>
      </w:r>
    </w:p>
    <w:p w:rsidR="001F5058" w:rsidRDefault="001F5058" w:rsidP="0078636A">
      <w:pPr>
        <w:spacing w:before="0"/>
        <w:rPr>
          <w:rFonts w:asciiTheme="minorHAnsi" w:eastAsia="Times New Roman" w:hAnsiTheme="minorHAnsi"/>
          <w:color w:val="000000"/>
          <w:sz w:val="20"/>
          <w:szCs w:val="20"/>
          <w:lang w:eastAsia="fr-FR"/>
        </w:rPr>
      </w:pPr>
    </w:p>
    <w:p w:rsidR="002B3731" w:rsidRDefault="002B3731" w:rsidP="0078636A">
      <w:pPr>
        <w:spacing w:before="0"/>
        <w:rPr>
          <w:rFonts w:asciiTheme="minorHAnsi" w:eastAsia="Times New Roman" w:hAnsiTheme="minorHAnsi"/>
          <w:color w:val="000000"/>
          <w:sz w:val="20"/>
          <w:szCs w:val="20"/>
          <w:lang w:eastAsia="fr-FR"/>
        </w:rPr>
      </w:pPr>
    </w:p>
    <w:p w:rsidR="0078636A" w:rsidRPr="00E02FD4" w:rsidRDefault="0078636A" w:rsidP="0078636A">
      <w:pPr>
        <w:spacing w:before="0"/>
        <w:rPr>
          <w:rFonts w:asciiTheme="minorHAnsi" w:eastAsia="Times New Roman" w:hAnsiTheme="minorHAnsi"/>
          <w:b/>
          <w:color w:val="000000"/>
          <w:sz w:val="20"/>
          <w:szCs w:val="20"/>
          <w:lang w:eastAsia="fr-FR"/>
        </w:rPr>
      </w:pPr>
      <w:r w:rsidRPr="00E02FD4">
        <w:rPr>
          <w:rFonts w:asciiTheme="minorHAnsi" w:eastAsia="Times New Roman" w:hAnsiTheme="minorHAnsi"/>
          <w:b/>
          <w:color w:val="000000"/>
          <w:sz w:val="20"/>
          <w:szCs w:val="20"/>
          <w:lang w:eastAsia="fr-FR"/>
        </w:rPr>
        <w:t xml:space="preserve">Présentation </w:t>
      </w:r>
    </w:p>
    <w:p w:rsidR="00FF5D25" w:rsidRPr="005F0E35" w:rsidRDefault="00FF5D25" w:rsidP="0078636A">
      <w:pPr>
        <w:spacing w:before="0"/>
        <w:rPr>
          <w:rFonts w:asciiTheme="minorHAnsi" w:eastAsia="Times New Roman" w:hAnsiTheme="minorHAnsi"/>
          <w:color w:val="000000"/>
          <w:sz w:val="20"/>
          <w:szCs w:val="20"/>
          <w:lang w:eastAsia="fr-FR"/>
        </w:rPr>
      </w:pPr>
    </w:p>
    <w:p w:rsidR="005D5DD8" w:rsidRDefault="005D5DD8" w:rsidP="005D5DD8">
      <w:pPr>
        <w:spacing w:before="0"/>
        <w:rPr>
          <w:rFonts w:asciiTheme="minorHAnsi" w:eastAsia="Times New Roman" w:hAnsiTheme="minorHAnsi"/>
          <w:color w:val="000000"/>
          <w:sz w:val="20"/>
          <w:szCs w:val="20"/>
          <w:lang w:eastAsia="fr-FR"/>
        </w:rPr>
      </w:pPr>
      <w:r w:rsidRPr="005F0E35">
        <w:rPr>
          <w:rFonts w:asciiTheme="minorHAnsi" w:eastAsia="Times New Roman" w:hAnsiTheme="minorHAnsi"/>
          <w:color w:val="000000"/>
          <w:sz w:val="20"/>
          <w:szCs w:val="20"/>
          <w:lang w:eastAsia="fr-FR"/>
        </w:rPr>
        <w:t>Cette fiche présente l’indicateur composite pour illustrer le recours aux examens pré-anesthésiques pour les patients opérés au sein des établissements de santé pour des actes de chirurgie mineure. L’indicateur composite recouvre les 4 indicateurs définis par la SFAR en lien avec la C</w:t>
      </w:r>
      <w:r w:rsidR="003C1661">
        <w:rPr>
          <w:rFonts w:asciiTheme="minorHAnsi" w:eastAsia="Times New Roman" w:hAnsiTheme="minorHAnsi"/>
          <w:color w:val="000000"/>
          <w:sz w:val="20"/>
          <w:szCs w:val="20"/>
          <w:lang w:eastAsia="fr-FR"/>
        </w:rPr>
        <w:t>NAM</w:t>
      </w:r>
      <w:r w:rsidRPr="005F0E35">
        <w:rPr>
          <w:rFonts w:asciiTheme="minorHAnsi" w:eastAsia="Times New Roman" w:hAnsiTheme="minorHAnsi"/>
          <w:color w:val="000000"/>
          <w:sz w:val="20"/>
          <w:szCs w:val="20"/>
          <w:lang w:eastAsia="fr-FR"/>
        </w:rPr>
        <w:t xml:space="preserve"> pour les situations de chirurgie mineure pour lesquelles les examens suivants sont jugés inutiles.</w:t>
      </w:r>
    </w:p>
    <w:p w:rsidR="001F5058" w:rsidRDefault="001F5058" w:rsidP="005D5DD8">
      <w:pPr>
        <w:spacing w:before="0"/>
        <w:rPr>
          <w:rFonts w:asciiTheme="minorHAnsi" w:eastAsia="Times New Roman" w:hAnsiTheme="minorHAnsi"/>
          <w:color w:val="000000"/>
          <w:sz w:val="20"/>
          <w:szCs w:val="20"/>
          <w:lang w:eastAsia="fr-FR"/>
        </w:rPr>
      </w:pPr>
    </w:p>
    <w:tbl>
      <w:tblPr>
        <w:tblW w:w="9159" w:type="dxa"/>
        <w:tblInd w:w="212" w:type="dxa"/>
        <w:tblBorders>
          <w:top w:val="single" w:sz="4" w:space="0" w:color="auto"/>
          <w:left w:val="single" w:sz="4" w:space="0" w:color="auto"/>
          <w:bottom w:val="single" w:sz="4" w:space="0" w:color="auto"/>
          <w:right w:val="single" w:sz="4" w:space="0" w:color="000000"/>
        </w:tblBorders>
        <w:shd w:val="clear" w:color="000000" w:fill="B8CCE4" w:themeFill="accent1" w:themeFillTint="66"/>
        <w:tblCellMar>
          <w:left w:w="70" w:type="dxa"/>
          <w:right w:w="70" w:type="dxa"/>
        </w:tblCellMar>
        <w:tblLook w:val="04A0" w:firstRow="1" w:lastRow="0" w:firstColumn="1" w:lastColumn="0" w:noHBand="0" w:noVBand="1"/>
      </w:tblPr>
      <w:tblGrid>
        <w:gridCol w:w="1499"/>
        <w:gridCol w:w="7660"/>
      </w:tblGrid>
      <w:tr w:rsidR="001F5058" w:rsidRPr="005F0E35" w:rsidTr="00891828">
        <w:trPr>
          <w:trHeight w:val="344"/>
        </w:trPr>
        <w:tc>
          <w:tcPr>
            <w:tcW w:w="1499" w:type="dxa"/>
            <w:shd w:val="clear" w:color="000000" w:fill="B8CCE4" w:themeFill="accent1" w:themeFillTint="66"/>
            <w:noWrap/>
            <w:hideMark/>
          </w:tcPr>
          <w:p w:rsidR="001F5058" w:rsidRPr="005F0E35" w:rsidRDefault="001F5058" w:rsidP="004E17D4">
            <w:pPr>
              <w:spacing w:before="0"/>
              <w:jc w:val="left"/>
              <w:rPr>
                <w:rFonts w:asciiTheme="minorHAnsi" w:eastAsia="Times New Roman" w:hAnsiTheme="minorHAnsi"/>
                <w:color w:val="000000"/>
                <w:sz w:val="18"/>
                <w:szCs w:val="18"/>
                <w:lang w:eastAsia="fr-FR"/>
              </w:rPr>
            </w:pPr>
            <w:r w:rsidRPr="005F0E35">
              <w:rPr>
                <w:rFonts w:asciiTheme="minorHAnsi" w:eastAsia="Times New Roman" w:hAnsiTheme="minorHAnsi"/>
                <w:color w:val="000000"/>
                <w:sz w:val="18"/>
                <w:szCs w:val="18"/>
                <w:lang w:eastAsia="fr-FR"/>
              </w:rPr>
              <w:t>Indicateur 1:</w:t>
            </w:r>
          </w:p>
        </w:tc>
        <w:tc>
          <w:tcPr>
            <w:tcW w:w="7660" w:type="dxa"/>
            <w:shd w:val="clear" w:color="000000" w:fill="B8CCE4" w:themeFill="accent1" w:themeFillTint="66"/>
            <w:hideMark/>
          </w:tcPr>
          <w:p w:rsidR="001F5058" w:rsidRPr="005F0E35" w:rsidRDefault="001F5058" w:rsidP="004E17D4">
            <w:pPr>
              <w:spacing w:before="0"/>
              <w:jc w:val="left"/>
              <w:rPr>
                <w:rFonts w:asciiTheme="minorHAnsi" w:eastAsia="Times New Roman" w:hAnsiTheme="minorHAnsi"/>
                <w:color w:val="000000"/>
                <w:sz w:val="18"/>
                <w:szCs w:val="18"/>
                <w:lang w:eastAsia="fr-FR"/>
              </w:rPr>
            </w:pPr>
            <w:r w:rsidRPr="005F0E35">
              <w:rPr>
                <w:rFonts w:asciiTheme="minorHAnsi" w:eastAsia="Times New Roman" w:hAnsiTheme="minorHAnsi"/>
                <w:color w:val="000000"/>
                <w:sz w:val="18"/>
                <w:szCs w:val="18"/>
                <w:lang w:eastAsia="fr-FR"/>
              </w:rPr>
              <w:t>Taux de recours au bilan d'hémostase chez l'enfant, avant amygdalectomie et adénoïdectomie</w:t>
            </w:r>
          </w:p>
        </w:tc>
      </w:tr>
      <w:tr w:rsidR="001F5058" w:rsidRPr="005F0E35" w:rsidTr="00891828">
        <w:trPr>
          <w:trHeight w:val="344"/>
        </w:trPr>
        <w:tc>
          <w:tcPr>
            <w:tcW w:w="1499" w:type="dxa"/>
            <w:shd w:val="clear" w:color="000000" w:fill="B8CCE4" w:themeFill="accent1" w:themeFillTint="66"/>
            <w:noWrap/>
            <w:hideMark/>
          </w:tcPr>
          <w:p w:rsidR="001F5058" w:rsidRPr="005F0E35" w:rsidRDefault="001F5058" w:rsidP="004E17D4">
            <w:pPr>
              <w:spacing w:before="0"/>
              <w:jc w:val="left"/>
              <w:rPr>
                <w:rFonts w:asciiTheme="minorHAnsi" w:eastAsia="Times New Roman" w:hAnsiTheme="minorHAnsi"/>
                <w:color w:val="000000"/>
                <w:sz w:val="18"/>
                <w:szCs w:val="18"/>
                <w:lang w:eastAsia="fr-FR"/>
              </w:rPr>
            </w:pPr>
            <w:r w:rsidRPr="005F0E35">
              <w:rPr>
                <w:rFonts w:asciiTheme="minorHAnsi" w:eastAsia="Times New Roman" w:hAnsiTheme="minorHAnsi"/>
                <w:color w:val="000000"/>
                <w:sz w:val="18"/>
                <w:szCs w:val="18"/>
                <w:lang w:eastAsia="fr-FR"/>
              </w:rPr>
              <w:t>Indicateur 2 :</w:t>
            </w:r>
          </w:p>
        </w:tc>
        <w:tc>
          <w:tcPr>
            <w:tcW w:w="7660" w:type="dxa"/>
            <w:shd w:val="clear" w:color="000000" w:fill="B8CCE4" w:themeFill="accent1" w:themeFillTint="66"/>
            <w:hideMark/>
          </w:tcPr>
          <w:p w:rsidR="001F5058" w:rsidRPr="005F0E35" w:rsidRDefault="001F5058" w:rsidP="004E17D4">
            <w:pPr>
              <w:spacing w:before="0"/>
              <w:jc w:val="left"/>
              <w:rPr>
                <w:rFonts w:asciiTheme="minorHAnsi" w:eastAsia="Times New Roman" w:hAnsiTheme="minorHAnsi"/>
                <w:color w:val="000000"/>
                <w:sz w:val="18"/>
                <w:szCs w:val="18"/>
                <w:lang w:eastAsia="fr-FR"/>
              </w:rPr>
            </w:pPr>
            <w:r w:rsidRPr="005F0E35">
              <w:rPr>
                <w:rFonts w:asciiTheme="minorHAnsi" w:eastAsia="Times New Roman" w:hAnsiTheme="minorHAnsi"/>
                <w:color w:val="000000"/>
                <w:sz w:val="18"/>
                <w:szCs w:val="18"/>
                <w:lang w:eastAsia="fr-FR"/>
              </w:rPr>
              <w:t xml:space="preserve">Taux de recours au bilan d'hémostase chez l’adulte </w:t>
            </w:r>
          </w:p>
        </w:tc>
      </w:tr>
      <w:tr w:rsidR="001F5058" w:rsidRPr="005F0E35" w:rsidTr="00891828">
        <w:trPr>
          <w:trHeight w:val="344"/>
        </w:trPr>
        <w:tc>
          <w:tcPr>
            <w:tcW w:w="1499" w:type="dxa"/>
            <w:shd w:val="clear" w:color="000000" w:fill="B8CCE4" w:themeFill="accent1" w:themeFillTint="66"/>
            <w:noWrap/>
            <w:hideMark/>
          </w:tcPr>
          <w:p w:rsidR="001F5058" w:rsidRPr="005F0E35" w:rsidRDefault="001F5058" w:rsidP="004E17D4">
            <w:pPr>
              <w:spacing w:before="0"/>
              <w:jc w:val="left"/>
              <w:rPr>
                <w:rFonts w:asciiTheme="minorHAnsi" w:eastAsia="Times New Roman" w:hAnsiTheme="minorHAnsi"/>
                <w:color w:val="000000"/>
                <w:sz w:val="18"/>
                <w:szCs w:val="18"/>
                <w:lang w:eastAsia="fr-FR"/>
              </w:rPr>
            </w:pPr>
            <w:r w:rsidRPr="005F0E35">
              <w:rPr>
                <w:rFonts w:asciiTheme="minorHAnsi" w:eastAsia="Times New Roman" w:hAnsiTheme="minorHAnsi"/>
                <w:color w:val="000000"/>
                <w:sz w:val="18"/>
                <w:szCs w:val="18"/>
                <w:lang w:eastAsia="fr-FR"/>
              </w:rPr>
              <w:t>Indicateur 3 :</w:t>
            </w:r>
          </w:p>
        </w:tc>
        <w:tc>
          <w:tcPr>
            <w:tcW w:w="7660" w:type="dxa"/>
            <w:shd w:val="clear" w:color="000000" w:fill="B8CCE4" w:themeFill="accent1" w:themeFillTint="66"/>
            <w:hideMark/>
          </w:tcPr>
          <w:p w:rsidR="001F5058" w:rsidRPr="005F0E35" w:rsidRDefault="001F5058" w:rsidP="004E17D4">
            <w:pPr>
              <w:spacing w:before="0"/>
              <w:jc w:val="left"/>
              <w:rPr>
                <w:rFonts w:asciiTheme="minorHAnsi" w:eastAsia="Times New Roman" w:hAnsiTheme="minorHAnsi"/>
                <w:color w:val="000000"/>
                <w:sz w:val="18"/>
                <w:szCs w:val="18"/>
                <w:lang w:eastAsia="fr-FR"/>
              </w:rPr>
            </w:pPr>
            <w:r w:rsidRPr="005F0E35">
              <w:rPr>
                <w:rFonts w:asciiTheme="minorHAnsi" w:eastAsia="Times New Roman" w:hAnsiTheme="minorHAnsi"/>
                <w:color w:val="000000"/>
                <w:sz w:val="18"/>
                <w:szCs w:val="18"/>
                <w:lang w:eastAsia="fr-FR"/>
              </w:rPr>
              <w:t xml:space="preserve">Taux de recours au groupe sanguin </w:t>
            </w:r>
          </w:p>
        </w:tc>
      </w:tr>
      <w:tr w:rsidR="001F5058" w:rsidRPr="005F0E35" w:rsidTr="00891828">
        <w:trPr>
          <w:trHeight w:val="328"/>
        </w:trPr>
        <w:tc>
          <w:tcPr>
            <w:tcW w:w="1499" w:type="dxa"/>
            <w:shd w:val="clear" w:color="000000" w:fill="B8CCE4" w:themeFill="accent1" w:themeFillTint="66"/>
            <w:noWrap/>
            <w:vAlign w:val="bottom"/>
            <w:hideMark/>
          </w:tcPr>
          <w:p w:rsidR="001F5058" w:rsidRPr="005F0E35" w:rsidRDefault="001F5058" w:rsidP="004E17D4">
            <w:pPr>
              <w:spacing w:before="0"/>
              <w:jc w:val="left"/>
              <w:rPr>
                <w:rFonts w:asciiTheme="minorHAnsi" w:eastAsia="Times New Roman" w:hAnsiTheme="minorHAnsi"/>
                <w:color w:val="000000"/>
                <w:sz w:val="18"/>
                <w:szCs w:val="18"/>
                <w:lang w:eastAsia="fr-FR"/>
              </w:rPr>
            </w:pPr>
            <w:r w:rsidRPr="005F0E35">
              <w:rPr>
                <w:rFonts w:asciiTheme="minorHAnsi" w:eastAsia="Times New Roman" w:hAnsiTheme="minorHAnsi"/>
                <w:color w:val="000000"/>
                <w:sz w:val="18"/>
                <w:szCs w:val="18"/>
                <w:lang w:eastAsia="fr-FR"/>
              </w:rPr>
              <w:t>Indicateur 4 :</w:t>
            </w:r>
          </w:p>
        </w:tc>
        <w:tc>
          <w:tcPr>
            <w:tcW w:w="7660" w:type="dxa"/>
            <w:shd w:val="clear" w:color="000000" w:fill="B8CCE4" w:themeFill="accent1" w:themeFillTint="66"/>
            <w:hideMark/>
          </w:tcPr>
          <w:p w:rsidR="001F5058" w:rsidRPr="005F0E35" w:rsidRDefault="001F5058" w:rsidP="004E17D4">
            <w:pPr>
              <w:spacing w:before="0"/>
              <w:jc w:val="left"/>
              <w:rPr>
                <w:rFonts w:asciiTheme="minorHAnsi" w:eastAsia="Times New Roman" w:hAnsiTheme="minorHAnsi"/>
                <w:color w:val="000000"/>
                <w:sz w:val="18"/>
                <w:szCs w:val="18"/>
                <w:lang w:eastAsia="fr-FR"/>
              </w:rPr>
            </w:pPr>
            <w:r w:rsidRPr="005F0E35">
              <w:rPr>
                <w:rFonts w:asciiTheme="minorHAnsi" w:eastAsia="Times New Roman" w:hAnsiTheme="minorHAnsi"/>
                <w:color w:val="000000"/>
                <w:sz w:val="18"/>
                <w:szCs w:val="18"/>
                <w:lang w:eastAsia="fr-FR"/>
              </w:rPr>
              <w:t xml:space="preserve">Taux de recours au ionogramme sanguin </w:t>
            </w:r>
          </w:p>
        </w:tc>
      </w:tr>
    </w:tbl>
    <w:p w:rsidR="001F5058" w:rsidRDefault="001F5058" w:rsidP="005D5DD8">
      <w:pPr>
        <w:spacing w:before="0"/>
        <w:rPr>
          <w:rFonts w:asciiTheme="minorHAnsi" w:eastAsia="Times New Roman" w:hAnsiTheme="minorHAnsi"/>
          <w:color w:val="000000"/>
          <w:sz w:val="20"/>
          <w:szCs w:val="20"/>
          <w:lang w:eastAsia="fr-FR"/>
        </w:rPr>
      </w:pPr>
    </w:p>
    <w:p w:rsidR="002B3731" w:rsidRPr="005F0E35" w:rsidRDefault="002B3731" w:rsidP="005D5DD8">
      <w:pPr>
        <w:spacing w:before="0"/>
        <w:rPr>
          <w:rFonts w:asciiTheme="minorHAnsi" w:eastAsia="Times New Roman" w:hAnsiTheme="minorHAnsi"/>
          <w:color w:val="000000"/>
          <w:sz w:val="20"/>
          <w:szCs w:val="20"/>
          <w:lang w:eastAsia="fr-FR"/>
        </w:rPr>
      </w:pPr>
    </w:p>
    <w:tbl>
      <w:tblPr>
        <w:tblW w:w="9052" w:type="dxa"/>
        <w:tblCellMar>
          <w:left w:w="70" w:type="dxa"/>
          <w:right w:w="70" w:type="dxa"/>
        </w:tblCellMar>
        <w:tblLook w:val="04A0" w:firstRow="1" w:lastRow="0" w:firstColumn="1" w:lastColumn="0" w:noHBand="0" w:noVBand="1"/>
      </w:tblPr>
      <w:tblGrid>
        <w:gridCol w:w="9496"/>
      </w:tblGrid>
      <w:tr w:rsidR="0078636A" w:rsidRPr="005F0E35" w:rsidTr="00835BC6">
        <w:trPr>
          <w:trHeight w:val="287"/>
        </w:trPr>
        <w:tc>
          <w:tcPr>
            <w:tcW w:w="9052" w:type="dxa"/>
            <w:vMerge w:val="restart"/>
            <w:tcBorders>
              <w:top w:val="nil"/>
              <w:left w:val="nil"/>
              <w:bottom w:val="nil"/>
              <w:right w:val="nil"/>
            </w:tcBorders>
            <w:shd w:val="clear" w:color="000000" w:fill="FFFFFF"/>
            <w:vAlign w:val="center"/>
            <w:hideMark/>
          </w:tcPr>
          <w:p w:rsidR="0078636A" w:rsidRPr="00E02FD4" w:rsidRDefault="0078636A" w:rsidP="0078636A">
            <w:pPr>
              <w:spacing w:before="0"/>
              <w:jc w:val="left"/>
              <w:rPr>
                <w:rFonts w:asciiTheme="minorHAnsi" w:eastAsia="Times New Roman" w:hAnsiTheme="minorHAnsi"/>
                <w:b/>
                <w:color w:val="000000"/>
                <w:sz w:val="20"/>
                <w:szCs w:val="20"/>
                <w:lang w:eastAsia="fr-FR"/>
              </w:rPr>
            </w:pPr>
            <w:r w:rsidRPr="00E02FD4">
              <w:rPr>
                <w:rFonts w:asciiTheme="minorHAnsi" w:eastAsia="Times New Roman" w:hAnsiTheme="minorHAnsi"/>
                <w:b/>
                <w:color w:val="000000"/>
                <w:sz w:val="20"/>
                <w:szCs w:val="20"/>
                <w:lang w:eastAsia="fr-FR"/>
              </w:rPr>
              <w:t>Périmètre des données</w:t>
            </w:r>
          </w:p>
          <w:p w:rsidR="00FF5D25" w:rsidRDefault="00FF5D25" w:rsidP="0078636A">
            <w:pPr>
              <w:spacing w:before="0"/>
              <w:jc w:val="left"/>
              <w:rPr>
                <w:rFonts w:asciiTheme="minorHAnsi" w:eastAsia="Times New Roman" w:hAnsiTheme="minorHAnsi"/>
                <w:color w:val="000000"/>
                <w:sz w:val="20"/>
                <w:szCs w:val="20"/>
                <w:lang w:eastAsia="fr-FR"/>
              </w:rPr>
            </w:pPr>
          </w:p>
          <w:tbl>
            <w:tblPr>
              <w:tblW w:w="9356" w:type="dxa"/>
              <w:tblCellMar>
                <w:left w:w="70" w:type="dxa"/>
                <w:right w:w="70" w:type="dxa"/>
              </w:tblCellMar>
              <w:tblLook w:val="04A0" w:firstRow="1" w:lastRow="0" w:firstColumn="1" w:lastColumn="0" w:noHBand="0" w:noVBand="1"/>
            </w:tblPr>
            <w:tblGrid>
              <w:gridCol w:w="9356"/>
            </w:tblGrid>
            <w:tr w:rsidR="0078636A" w:rsidRPr="005F0E35" w:rsidTr="00E02FD4">
              <w:trPr>
                <w:trHeight w:val="277"/>
              </w:trPr>
              <w:tc>
                <w:tcPr>
                  <w:tcW w:w="9356" w:type="dxa"/>
                  <w:vMerge w:val="restart"/>
                  <w:tcBorders>
                    <w:top w:val="nil"/>
                    <w:left w:val="nil"/>
                    <w:bottom w:val="nil"/>
                    <w:right w:val="nil"/>
                  </w:tcBorders>
                  <w:shd w:val="clear" w:color="000000" w:fill="FFFFFF"/>
                  <w:vAlign w:val="bottom"/>
                  <w:hideMark/>
                </w:tcPr>
                <w:p w:rsidR="0078636A" w:rsidRPr="005F0E35" w:rsidRDefault="0078636A" w:rsidP="00E02FD4">
                  <w:pPr>
                    <w:spacing w:before="0"/>
                    <w:rPr>
                      <w:rFonts w:asciiTheme="minorHAnsi" w:eastAsia="Times New Roman" w:hAnsiTheme="minorHAnsi"/>
                      <w:color w:val="000000"/>
                      <w:sz w:val="20"/>
                      <w:szCs w:val="20"/>
                      <w:lang w:eastAsia="fr-FR"/>
                    </w:rPr>
                  </w:pPr>
                  <w:r w:rsidRPr="005F0E35">
                    <w:rPr>
                      <w:rFonts w:asciiTheme="minorHAnsi" w:eastAsia="Times New Roman" w:hAnsiTheme="minorHAnsi"/>
                      <w:color w:val="000000"/>
                      <w:sz w:val="20"/>
                      <w:szCs w:val="20"/>
                      <w:lang w:eastAsia="fr-FR"/>
                    </w:rPr>
                    <w:t>Les données concernent tous les régimes disponibles France entière, et sont issues du PMSI et du SNIIRAM (source : DCIR, données liquidées avec 6 mois de recul sur l'année de la date de soin).</w:t>
                  </w:r>
                  <w:r w:rsidR="001F5058">
                    <w:rPr>
                      <w:rFonts w:asciiTheme="minorHAnsi" w:eastAsia="Times New Roman" w:hAnsiTheme="minorHAnsi"/>
                      <w:color w:val="000000"/>
                      <w:sz w:val="20"/>
                      <w:szCs w:val="20"/>
                      <w:lang w:eastAsia="fr-FR"/>
                    </w:rPr>
                    <w:t xml:space="preserve"> Seuls les établissements ayant une activité supérieure ou égale à 30 séjours par an sont concernés par cet indicateur.</w:t>
                  </w:r>
                </w:p>
              </w:tc>
            </w:tr>
            <w:tr w:rsidR="0078636A" w:rsidRPr="005F0E35" w:rsidTr="00E02FD4">
              <w:trPr>
                <w:trHeight w:val="277"/>
              </w:trPr>
              <w:tc>
                <w:tcPr>
                  <w:tcW w:w="9356" w:type="dxa"/>
                  <w:vMerge/>
                  <w:tcBorders>
                    <w:top w:val="nil"/>
                    <w:left w:val="nil"/>
                    <w:bottom w:val="nil"/>
                    <w:right w:val="nil"/>
                  </w:tcBorders>
                  <w:vAlign w:val="center"/>
                  <w:hideMark/>
                </w:tcPr>
                <w:p w:rsidR="0078636A" w:rsidRPr="005F0E35" w:rsidRDefault="0078636A" w:rsidP="0078636A">
                  <w:pPr>
                    <w:spacing w:before="0"/>
                    <w:jc w:val="left"/>
                    <w:rPr>
                      <w:rFonts w:asciiTheme="minorHAnsi" w:eastAsia="Times New Roman" w:hAnsiTheme="minorHAnsi"/>
                      <w:color w:val="000000"/>
                      <w:sz w:val="20"/>
                      <w:szCs w:val="20"/>
                      <w:lang w:eastAsia="fr-FR"/>
                    </w:rPr>
                  </w:pPr>
                </w:p>
              </w:tc>
            </w:tr>
          </w:tbl>
          <w:p w:rsidR="0078636A" w:rsidRPr="005F0E35" w:rsidRDefault="0078636A" w:rsidP="0078636A">
            <w:pPr>
              <w:spacing w:before="0"/>
              <w:jc w:val="left"/>
              <w:rPr>
                <w:rFonts w:asciiTheme="minorHAnsi" w:eastAsia="Times New Roman" w:hAnsiTheme="minorHAnsi"/>
                <w:color w:val="000000"/>
                <w:sz w:val="20"/>
                <w:szCs w:val="20"/>
                <w:lang w:eastAsia="fr-FR"/>
              </w:rPr>
            </w:pPr>
          </w:p>
        </w:tc>
      </w:tr>
      <w:tr w:rsidR="0078636A" w:rsidRPr="005F0E35" w:rsidTr="00835BC6">
        <w:trPr>
          <w:trHeight w:val="272"/>
        </w:trPr>
        <w:tc>
          <w:tcPr>
            <w:tcW w:w="9052" w:type="dxa"/>
            <w:vMerge/>
            <w:tcBorders>
              <w:top w:val="nil"/>
              <w:left w:val="nil"/>
              <w:bottom w:val="nil"/>
              <w:right w:val="nil"/>
            </w:tcBorders>
            <w:vAlign w:val="center"/>
            <w:hideMark/>
          </w:tcPr>
          <w:p w:rsidR="0078636A" w:rsidRPr="005F0E35" w:rsidRDefault="0078636A" w:rsidP="0078636A">
            <w:pPr>
              <w:spacing w:before="0"/>
              <w:jc w:val="left"/>
              <w:rPr>
                <w:rFonts w:asciiTheme="minorHAnsi" w:eastAsia="Times New Roman" w:hAnsiTheme="minorHAnsi"/>
                <w:color w:val="000000"/>
                <w:sz w:val="20"/>
                <w:szCs w:val="20"/>
                <w:lang w:eastAsia="fr-FR"/>
              </w:rPr>
            </w:pPr>
          </w:p>
        </w:tc>
      </w:tr>
      <w:tr w:rsidR="0078636A" w:rsidRPr="005F0E35" w:rsidTr="00835BC6">
        <w:trPr>
          <w:trHeight w:val="272"/>
        </w:trPr>
        <w:tc>
          <w:tcPr>
            <w:tcW w:w="9052" w:type="dxa"/>
            <w:vMerge/>
            <w:tcBorders>
              <w:top w:val="nil"/>
              <w:left w:val="nil"/>
              <w:bottom w:val="nil"/>
              <w:right w:val="nil"/>
            </w:tcBorders>
            <w:vAlign w:val="center"/>
            <w:hideMark/>
          </w:tcPr>
          <w:p w:rsidR="0078636A" w:rsidRPr="005F0E35" w:rsidRDefault="0078636A" w:rsidP="0078636A">
            <w:pPr>
              <w:spacing w:before="0"/>
              <w:jc w:val="left"/>
              <w:rPr>
                <w:rFonts w:asciiTheme="minorHAnsi" w:eastAsia="Times New Roman" w:hAnsiTheme="minorHAnsi"/>
                <w:color w:val="000000"/>
                <w:sz w:val="20"/>
                <w:szCs w:val="20"/>
                <w:lang w:eastAsia="fr-FR"/>
              </w:rPr>
            </w:pPr>
          </w:p>
        </w:tc>
      </w:tr>
      <w:tr w:rsidR="0078636A" w:rsidRPr="005F0E35" w:rsidTr="00D15641">
        <w:trPr>
          <w:trHeight w:val="272"/>
        </w:trPr>
        <w:tc>
          <w:tcPr>
            <w:tcW w:w="9052" w:type="dxa"/>
            <w:tcBorders>
              <w:top w:val="nil"/>
              <w:left w:val="nil"/>
              <w:bottom w:val="nil"/>
              <w:right w:val="nil"/>
            </w:tcBorders>
            <w:shd w:val="clear" w:color="000000" w:fill="FFFFFF"/>
            <w:vAlign w:val="center"/>
          </w:tcPr>
          <w:p w:rsidR="002B3731" w:rsidRDefault="002B3731" w:rsidP="0078636A">
            <w:pPr>
              <w:spacing w:before="0"/>
              <w:jc w:val="left"/>
              <w:rPr>
                <w:rFonts w:asciiTheme="minorHAnsi" w:eastAsia="Times New Roman" w:hAnsiTheme="minorHAnsi"/>
                <w:b/>
                <w:bCs/>
                <w:color w:val="000000"/>
                <w:sz w:val="20"/>
                <w:szCs w:val="20"/>
                <w:u w:val="single"/>
                <w:lang w:eastAsia="fr-FR"/>
              </w:rPr>
            </w:pPr>
          </w:p>
          <w:p w:rsidR="002B3731" w:rsidRPr="005F0E35" w:rsidRDefault="002B3731" w:rsidP="0078636A">
            <w:pPr>
              <w:spacing w:before="0"/>
              <w:jc w:val="left"/>
              <w:rPr>
                <w:rFonts w:asciiTheme="minorHAnsi" w:eastAsia="Times New Roman" w:hAnsiTheme="minorHAnsi"/>
                <w:b/>
                <w:bCs/>
                <w:color w:val="000000"/>
                <w:sz w:val="20"/>
                <w:szCs w:val="20"/>
                <w:u w:val="single"/>
                <w:lang w:eastAsia="fr-FR"/>
              </w:rPr>
            </w:pPr>
          </w:p>
        </w:tc>
      </w:tr>
    </w:tbl>
    <w:p w:rsidR="00697F4D" w:rsidRPr="00D15641" w:rsidRDefault="00697F4D" w:rsidP="00697F4D">
      <w:pPr>
        <w:spacing w:before="0"/>
        <w:jc w:val="left"/>
        <w:rPr>
          <w:rFonts w:asciiTheme="minorHAnsi" w:eastAsia="Times New Roman" w:hAnsiTheme="minorHAnsi"/>
          <w:b/>
          <w:color w:val="000000"/>
          <w:sz w:val="20"/>
          <w:szCs w:val="20"/>
          <w:lang w:eastAsia="fr-FR"/>
        </w:rPr>
      </w:pPr>
      <w:r w:rsidRPr="00D15641">
        <w:rPr>
          <w:rFonts w:asciiTheme="minorHAnsi" w:eastAsia="Times New Roman" w:hAnsiTheme="minorHAnsi"/>
          <w:b/>
          <w:color w:val="000000"/>
          <w:sz w:val="20"/>
          <w:szCs w:val="20"/>
          <w:lang w:eastAsia="fr-FR"/>
        </w:rPr>
        <w:t xml:space="preserve">Indicateur composite  examens pré anesthésiques : </w:t>
      </w:r>
    </w:p>
    <w:p w:rsidR="002B3731" w:rsidRPr="005F0E35" w:rsidRDefault="002B3731" w:rsidP="00697F4D">
      <w:pPr>
        <w:spacing w:before="0"/>
        <w:jc w:val="left"/>
        <w:rPr>
          <w:rFonts w:asciiTheme="minorHAnsi" w:eastAsia="Times New Roman" w:hAnsiTheme="minorHAnsi"/>
          <w:color w:val="000000"/>
          <w:sz w:val="20"/>
          <w:szCs w:val="20"/>
          <w:lang w:eastAsia="fr-FR"/>
        </w:rPr>
      </w:pPr>
    </w:p>
    <w:p w:rsidR="001F5058" w:rsidRDefault="00697F4D" w:rsidP="00697F4D">
      <w:pPr>
        <w:spacing w:before="0"/>
        <w:rPr>
          <w:rFonts w:asciiTheme="minorHAnsi" w:eastAsia="Times New Roman" w:hAnsiTheme="minorHAnsi"/>
          <w:color w:val="000000"/>
          <w:sz w:val="20"/>
          <w:szCs w:val="20"/>
          <w:lang w:eastAsia="fr-FR"/>
        </w:rPr>
      </w:pPr>
      <w:r w:rsidRPr="005F0E35">
        <w:rPr>
          <w:rFonts w:asciiTheme="minorHAnsi" w:eastAsia="Times New Roman" w:hAnsiTheme="minorHAnsi"/>
          <w:color w:val="000000"/>
          <w:sz w:val="20"/>
          <w:szCs w:val="20"/>
          <w:lang w:eastAsia="fr-FR"/>
        </w:rPr>
        <w:lastRenderedPageBreak/>
        <w:tab/>
        <w:t xml:space="preserve">Pour les établissements ayant une activité supérieure à 30 séjours par an, </w:t>
      </w:r>
      <w:r w:rsidRPr="00184DCE">
        <w:rPr>
          <w:rFonts w:asciiTheme="minorHAnsi" w:eastAsia="Times New Roman" w:hAnsiTheme="minorHAnsi"/>
          <w:b/>
          <w:color w:val="000000"/>
          <w:sz w:val="20"/>
          <w:szCs w:val="20"/>
          <w:lang w:eastAsia="fr-FR"/>
        </w:rPr>
        <w:t>l’indicateur retenu est la part des séjours avec les prescriptions jugées inutiles sur l’ensemble des séjours entrant dans les critères de sélection</w:t>
      </w:r>
      <w:r w:rsidR="00835BC6">
        <w:rPr>
          <w:rFonts w:asciiTheme="minorHAnsi" w:eastAsia="Times New Roman" w:hAnsiTheme="minorHAnsi"/>
          <w:b/>
          <w:color w:val="000000"/>
          <w:sz w:val="20"/>
          <w:szCs w:val="20"/>
          <w:lang w:eastAsia="fr-FR"/>
        </w:rPr>
        <w:t xml:space="preserve">  (</w:t>
      </w:r>
      <w:r w:rsidR="005E540B">
        <w:rPr>
          <w:rFonts w:asciiTheme="minorHAnsi" w:eastAsia="Times New Roman" w:hAnsiTheme="minorHAnsi"/>
          <w:b/>
          <w:color w:val="000000"/>
          <w:sz w:val="20"/>
          <w:szCs w:val="20"/>
          <w:lang w:eastAsia="fr-FR"/>
        </w:rPr>
        <w:t>cf.</w:t>
      </w:r>
      <w:r w:rsidR="00D31429">
        <w:rPr>
          <w:rFonts w:asciiTheme="minorHAnsi" w:eastAsia="Times New Roman" w:hAnsiTheme="minorHAnsi"/>
          <w:b/>
          <w:color w:val="000000"/>
          <w:sz w:val="20"/>
          <w:szCs w:val="20"/>
          <w:lang w:eastAsia="fr-FR"/>
        </w:rPr>
        <w:t xml:space="preserve"> tableau de présentation des indicateurs)</w:t>
      </w:r>
      <w:r w:rsidR="003C1661">
        <w:rPr>
          <w:rFonts w:asciiTheme="minorHAnsi" w:eastAsia="Times New Roman" w:hAnsiTheme="minorHAnsi"/>
          <w:color w:val="000000"/>
          <w:sz w:val="20"/>
          <w:szCs w:val="20"/>
          <w:lang w:eastAsia="fr-FR"/>
        </w:rPr>
        <w:t>.</w:t>
      </w:r>
    </w:p>
    <w:p w:rsidR="002B3731" w:rsidRDefault="002B3731" w:rsidP="002B3731">
      <w:pPr>
        <w:spacing w:before="0"/>
        <w:rPr>
          <w:rFonts w:asciiTheme="minorHAnsi" w:eastAsia="Times New Roman" w:hAnsiTheme="minorHAnsi"/>
          <w:color w:val="000000"/>
          <w:sz w:val="20"/>
          <w:szCs w:val="20"/>
          <w:lang w:eastAsia="fr-FR"/>
        </w:rPr>
      </w:pPr>
    </w:p>
    <w:p w:rsidR="002A75C3" w:rsidRDefault="002A75C3" w:rsidP="002B3731">
      <w:pPr>
        <w:spacing w:before="0"/>
        <w:rPr>
          <w:rFonts w:asciiTheme="minorHAnsi" w:eastAsia="Times New Roman" w:hAnsiTheme="minorHAnsi"/>
          <w:color w:val="000000"/>
          <w:sz w:val="20"/>
          <w:szCs w:val="20"/>
          <w:lang w:eastAsia="fr-FR"/>
        </w:rPr>
      </w:pPr>
      <w:r>
        <w:rPr>
          <w:rFonts w:asciiTheme="minorHAnsi" w:eastAsia="Times New Roman" w:hAnsiTheme="minorHAnsi"/>
          <w:color w:val="000000"/>
          <w:sz w:val="20"/>
          <w:szCs w:val="20"/>
          <w:lang w:eastAsia="fr-FR"/>
        </w:rPr>
        <w:t xml:space="preserve">L’action pertinence des examens pré-anesthésiques </w:t>
      </w:r>
      <w:r w:rsidR="00DE14B0">
        <w:rPr>
          <w:rFonts w:asciiTheme="minorHAnsi" w:eastAsia="Times New Roman" w:hAnsiTheme="minorHAnsi"/>
          <w:color w:val="000000"/>
          <w:sz w:val="20"/>
          <w:szCs w:val="20"/>
          <w:lang w:eastAsia="fr-FR"/>
        </w:rPr>
        <w:t xml:space="preserve">concerne 979 établissements </w:t>
      </w:r>
      <w:r>
        <w:rPr>
          <w:rFonts w:asciiTheme="minorHAnsi" w:eastAsia="Times New Roman" w:hAnsiTheme="minorHAnsi"/>
          <w:color w:val="000000"/>
          <w:sz w:val="20"/>
          <w:szCs w:val="20"/>
          <w:lang w:eastAsia="fr-FR"/>
        </w:rPr>
        <w:t>sur l’activité 2018. Parmi ces établissements, 941 ont u</w:t>
      </w:r>
      <w:r w:rsidR="00DE14B0">
        <w:rPr>
          <w:rFonts w:asciiTheme="minorHAnsi" w:eastAsia="Times New Roman" w:hAnsiTheme="minorHAnsi"/>
          <w:color w:val="000000"/>
          <w:sz w:val="20"/>
          <w:szCs w:val="20"/>
          <w:lang w:eastAsia="fr-FR"/>
        </w:rPr>
        <w:t>n</w:t>
      </w:r>
      <w:r>
        <w:rPr>
          <w:rFonts w:asciiTheme="minorHAnsi" w:eastAsia="Times New Roman" w:hAnsiTheme="minorHAnsi"/>
          <w:color w:val="000000"/>
          <w:sz w:val="20"/>
          <w:szCs w:val="20"/>
          <w:lang w:eastAsia="fr-FR"/>
        </w:rPr>
        <w:t xml:space="preserve"> minimum d’activité de 30 séjours. Pour ces 941 établissements, l’</w:t>
      </w:r>
      <w:r w:rsidRPr="001F5058">
        <w:rPr>
          <w:rFonts w:asciiTheme="minorHAnsi" w:eastAsia="Times New Roman" w:hAnsiTheme="minorHAnsi"/>
          <w:color w:val="000000"/>
          <w:sz w:val="20"/>
          <w:szCs w:val="20"/>
          <w:lang w:eastAsia="fr-FR"/>
        </w:rPr>
        <w:t xml:space="preserve">indicateur </w:t>
      </w:r>
      <w:r>
        <w:rPr>
          <w:rFonts w:asciiTheme="minorHAnsi" w:eastAsia="Times New Roman" w:hAnsiTheme="minorHAnsi"/>
          <w:color w:val="000000"/>
          <w:sz w:val="20"/>
          <w:szCs w:val="20"/>
          <w:lang w:eastAsia="fr-FR"/>
        </w:rPr>
        <w:t>composite au niveau national est de 17</w:t>
      </w:r>
      <w:r w:rsidRPr="001F5058">
        <w:rPr>
          <w:rFonts w:asciiTheme="minorHAnsi" w:eastAsia="Times New Roman" w:hAnsiTheme="minorHAnsi"/>
          <w:color w:val="000000"/>
          <w:sz w:val="20"/>
          <w:szCs w:val="20"/>
          <w:lang w:eastAsia="fr-FR"/>
        </w:rPr>
        <w:t>,</w:t>
      </w:r>
      <w:r>
        <w:rPr>
          <w:rFonts w:asciiTheme="minorHAnsi" w:eastAsia="Times New Roman" w:hAnsiTheme="minorHAnsi"/>
          <w:color w:val="000000"/>
          <w:sz w:val="20"/>
          <w:szCs w:val="20"/>
          <w:lang w:eastAsia="fr-FR"/>
        </w:rPr>
        <w:t>6</w:t>
      </w:r>
      <w:r w:rsidRPr="001F5058">
        <w:rPr>
          <w:rFonts w:asciiTheme="minorHAnsi" w:eastAsia="Times New Roman" w:hAnsiTheme="minorHAnsi"/>
          <w:color w:val="000000"/>
          <w:sz w:val="20"/>
          <w:szCs w:val="20"/>
          <w:lang w:eastAsia="fr-FR"/>
        </w:rPr>
        <w:t>%, et oscille pour les établissements entre 0% et 9</w:t>
      </w:r>
      <w:r>
        <w:rPr>
          <w:rFonts w:asciiTheme="minorHAnsi" w:eastAsia="Times New Roman" w:hAnsiTheme="minorHAnsi"/>
          <w:color w:val="000000"/>
          <w:sz w:val="20"/>
          <w:szCs w:val="20"/>
          <w:lang w:eastAsia="fr-FR"/>
        </w:rPr>
        <w:t>6</w:t>
      </w:r>
      <w:r w:rsidRPr="001F5058">
        <w:rPr>
          <w:rFonts w:asciiTheme="minorHAnsi" w:eastAsia="Times New Roman" w:hAnsiTheme="minorHAnsi"/>
          <w:color w:val="000000"/>
          <w:sz w:val="20"/>
          <w:szCs w:val="20"/>
          <w:lang w:eastAsia="fr-FR"/>
        </w:rPr>
        <w:t>%.</w:t>
      </w:r>
      <w:r>
        <w:rPr>
          <w:rFonts w:asciiTheme="minorHAnsi" w:eastAsia="Times New Roman" w:hAnsiTheme="minorHAnsi"/>
          <w:color w:val="000000"/>
          <w:sz w:val="20"/>
          <w:szCs w:val="20"/>
          <w:lang w:eastAsia="fr-FR"/>
        </w:rPr>
        <w:t xml:space="preserve">  La réduction de cet </w:t>
      </w:r>
      <w:r w:rsidRPr="00971694">
        <w:rPr>
          <w:rFonts w:asciiTheme="minorHAnsi" w:eastAsia="Times New Roman" w:hAnsiTheme="minorHAnsi"/>
          <w:color w:val="000000" w:themeColor="text1"/>
          <w:sz w:val="20"/>
          <w:szCs w:val="20"/>
          <w:lang w:eastAsia="fr-FR"/>
        </w:rPr>
        <w:t>indicateur de 1,6 point par rapport à 201</w:t>
      </w:r>
      <w:r>
        <w:rPr>
          <w:rFonts w:asciiTheme="minorHAnsi" w:eastAsia="Times New Roman" w:hAnsiTheme="minorHAnsi"/>
          <w:color w:val="000000" w:themeColor="text1"/>
          <w:sz w:val="20"/>
          <w:szCs w:val="20"/>
          <w:lang w:eastAsia="fr-FR"/>
        </w:rPr>
        <w:t>7</w:t>
      </w:r>
      <w:r w:rsidRPr="00971694">
        <w:rPr>
          <w:rFonts w:asciiTheme="minorHAnsi" w:eastAsia="Times New Roman" w:hAnsiTheme="minorHAnsi"/>
          <w:color w:val="000000" w:themeColor="text1"/>
          <w:sz w:val="20"/>
          <w:szCs w:val="20"/>
          <w:lang w:eastAsia="fr-FR"/>
        </w:rPr>
        <w:t xml:space="preserve">, se traduit par une réduction d’environ </w:t>
      </w:r>
      <w:r>
        <w:rPr>
          <w:rFonts w:asciiTheme="minorHAnsi" w:eastAsia="Times New Roman" w:hAnsiTheme="minorHAnsi"/>
          <w:color w:val="000000" w:themeColor="text1"/>
          <w:sz w:val="20"/>
          <w:szCs w:val="20"/>
          <w:lang w:eastAsia="fr-FR"/>
        </w:rPr>
        <w:t>5</w:t>
      </w:r>
      <w:r w:rsidRPr="00971694">
        <w:rPr>
          <w:rFonts w:asciiTheme="minorHAnsi" w:eastAsia="Times New Roman" w:hAnsiTheme="minorHAnsi"/>
          <w:color w:val="000000" w:themeColor="text1"/>
          <w:sz w:val="20"/>
          <w:szCs w:val="20"/>
          <w:lang w:eastAsia="fr-FR"/>
        </w:rPr>
        <w:t>2.</w:t>
      </w:r>
      <w:r>
        <w:rPr>
          <w:rFonts w:asciiTheme="minorHAnsi" w:eastAsia="Times New Roman" w:hAnsiTheme="minorHAnsi"/>
          <w:color w:val="000000" w:themeColor="text1"/>
          <w:sz w:val="20"/>
          <w:szCs w:val="20"/>
          <w:lang w:eastAsia="fr-FR"/>
        </w:rPr>
        <w:t>9</w:t>
      </w:r>
      <w:r w:rsidRPr="00971694">
        <w:rPr>
          <w:rFonts w:asciiTheme="minorHAnsi" w:eastAsia="Times New Roman" w:hAnsiTheme="minorHAnsi"/>
          <w:color w:val="000000" w:themeColor="text1"/>
          <w:sz w:val="20"/>
          <w:szCs w:val="20"/>
          <w:lang w:eastAsia="fr-FR"/>
        </w:rPr>
        <w:t>00 examens inutiles.</w:t>
      </w:r>
    </w:p>
    <w:p w:rsidR="002B3731" w:rsidRDefault="002B3731" w:rsidP="002B3731">
      <w:pPr>
        <w:spacing w:before="0"/>
        <w:rPr>
          <w:rFonts w:asciiTheme="minorHAnsi" w:eastAsia="Times New Roman" w:hAnsiTheme="minorHAnsi"/>
          <w:color w:val="000000" w:themeColor="text1"/>
          <w:sz w:val="20"/>
          <w:szCs w:val="20"/>
          <w:lang w:eastAsia="fr-FR"/>
        </w:rPr>
      </w:pPr>
    </w:p>
    <w:p w:rsidR="00705A6D" w:rsidRPr="003C1661" w:rsidRDefault="00DE14B0" w:rsidP="002B3731">
      <w:pPr>
        <w:spacing w:before="0"/>
        <w:rPr>
          <w:rFonts w:asciiTheme="minorHAnsi" w:hAnsiTheme="minorHAnsi"/>
          <w:color w:val="000000" w:themeColor="text1"/>
          <w:sz w:val="20"/>
        </w:rPr>
      </w:pPr>
      <w:r>
        <w:rPr>
          <w:rFonts w:asciiTheme="minorHAnsi" w:eastAsia="Times New Roman" w:hAnsiTheme="minorHAnsi"/>
          <w:color w:val="000000"/>
          <w:sz w:val="20"/>
          <w:szCs w:val="20"/>
          <w:lang w:eastAsia="fr-FR"/>
        </w:rPr>
        <w:t>Tous les établissements ayant des actes évitables, c’est-à-dire un indicateur composite supérieur à 0% peuvent être ciblés.</w:t>
      </w:r>
      <w:r w:rsidRPr="00DE14B0">
        <w:rPr>
          <w:rFonts w:asciiTheme="minorHAnsi" w:eastAsia="Times New Roman" w:hAnsiTheme="minorHAnsi"/>
          <w:color w:val="000000"/>
          <w:sz w:val="20"/>
          <w:szCs w:val="20"/>
          <w:lang w:eastAsia="fr-FR"/>
        </w:rPr>
        <w:t xml:space="preserve"> </w:t>
      </w:r>
      <w:r>
        <w:rPr>
          <w:rFonts w:asciiTheme="minorHAnsi" w:eastAsia="Times New Roman" w:hAnsiTheme="minorHAnsi"/>
          <w:color w:val="000000"/>
          <w:sz w:val="20"/>
          <w:szCs w:val="20"/>
          <w:lang w:eastAsia="fr-FR"/>
        </w:rPr>
        <w:t>Ainsi pour l’année 2019, 938 établissements</w:t>
      </w:r>
      <w:r w:rsidRPr="003C1661">
        <w:rPr>
          <w:rFonts w:asciiTheme="minorHAnsi" w:hAnsiTheme="minorHAnsi"/>
          <w:color w:val="000000" w:themeColor="text1"/>
          <w:sz w:val="20"/>
        </w:rPr>
        <w:t xml:space="preserve"> </w:t>
      </w:r>
      <w:r>
        <w:rPr>
          <w:rFonts w:asciiTheme="minorHAnsi" w:hAnsiTheme="minorHAnsi"/>
          <w:color w:val="000000" w:themeColor="text1"/>
          <w:sz w:val="20"/>
        </w:rPr>
        <w:t>peuvent être ciblés, ce qui représente un</w:t>
      </w:r>
      <w:r w:rsidR="00705A6D" w:rsidRPr="003C1661">
        <w:rPr>
          <w:rFonts w:asciiTheme="minorHAnsi" w:hAnsiTheme="minorHAnsi"/>
          <w:color w:val="000000" w:themeColor="text1"/>
          <w:sz w:val="20"/>
        </w:rPr>
        <w:t xml:space="preserve"> montant de</w:t>
      </w:r>
      <w:r w:rsidR="00705A6D">
        <w:rPr>
          <w:rFonts w:asciiTheme="minorHAnsi" w:hAnsiTheme="minorHAnsi"/>
          <w:color w:val="000000" w:themeColor="text1"/>
          <w:sz w:val="20"/>
        </w:rPr>
        <w:t xml:space="preserve"> </w:t>
      </w:r>
      <w:r w:rsidR="00705A6D" w:rsidRPr="003C1661">
        <w:rPr>
          <w:rFonts w:asciiTheme="minorHAnsi" w:hAnsiTheme="minorHAnsi"/>
          <w:color w:val="000000" w:themeColor="text1"/>
          <w:sz w:val="20"/>
        </w:rPr>
        <w:t xml:space="preserve">dépenses évitables France entière </w:t>
      </w:r>
      <w:r w:rsidR="003A2E4F">
        <w:rPr>
          <w:rFonts w:asciiTheme="minorHAnsi" w:hAnsiTheme="minorHAnsi"/>
          <w:color w:val="000000" w:themeColor="text1"/>
          <w:sz w:val="20"/>
        </w:rPr>
        <w:t>de</w:t>
      </w:r>
      <w:r w:rsidR="00705A6D" w:rsidRPr="003C1661">
        <w:rPr>
          <w:rFonts w:asciiTheme="minorHAnsi" w:hAnsiTheme="minorHAnsi"/>
          <w:color w:val="000000" w:themeColor="text1"/>
          <w:sz w:val="20"/>
        </w:rPr>
        <w:t xml:space="preserve"> 6.4 millions d’euros en base de remboursement.</w:t>
      </w:r>
    </w:p>
    <w:p w:rsidR="002B3731" w:rsidRDefault="002B3731" w:rsidP="002B3731">
      <w:pPr>
        <w:spacing w:before="0"/>
        <w:rPr>
          <w:rFonts w:asciiTheme="minorHAnsi" w:eastAsia="Times New Roman" w:hAnsiTheme="minorHAnsi"/>
          <w:color w:val="000000" w:themeColor="text1"/>
          <w:sz w:val="20"/>
          <w:szCs w:val="20"/>
          <w:lang w:eastAsia="fr-FR"/>
        </w:rPr>
      </w:pPr>
    </w:p>
    <w:p w:rsidR="00697F4D" w:rsidRPr="003C1661" w:rsidRDefault="00697F4D" w:rsidP="002B3731">
      <w:pPr>
        <w:spacing w:before="0"/>
        <w:rPr>
          <w:rFonts w:asciiTheme="minorHAnsi" w:eastAsia="Times New Roman" w:hAnsiTheme="minorHAnsi"/>
          <w:b/>
          <w:color w:val="000000" w:themeColor="text1"/>
          <w:sz w:val="28"/>
          <w:szCs w:val="20"/>
          <w:lang w:eastAsia="fr-FR"/>
        </w:rPr>
      </w:pPr>
      <w:r w:rsidRPr="003C1661">
        <w:rPr>
          <w:rFonts w:asciiTheme="minorHAnsi" w:eastAsia="Times New Roman" w:hAnsiTheme="minorHAnsi"/>
          <w:color w:val="000000" w:themeColor="text1"/>
          <w:sz w:val="20"/>
          <w:szCs w:val="20"/>
          <w:lang w:eastAsia="fr-FR"/>
        </w:rPr>
        <w:t xml:space="preserve">Ainsi dans l’exemple qui suit, l’établissement xxx a réalisé (partie 3-4 du profil) </w:t>
      </w:r>
      <w:r w:rsidR="003C1661" w:rsidRPr="003C1661">
        <w:rPr>
          <w:rFonts w:asciiTheme="minorHAnsi" w:eastAsia="Times New Roman" w:hAnsiTheme="minorHAnsi"/>
          <w:color w:val="000000" w:themeColor="text1"/>
          <w:sz w:val="20"/>
          <w:szCs w:val="20"/>
          <w:lang w:eastAsia="fr-FR"/>
        </w:rPr>
        <w:t>18</w:t>
      </w:r>
      <w:r w:rsidR="00277225">
        <w:rPr>
          <w:rFonts w:asciiTheme="minorHAnsi" w:eastAsia="Times New Roman" w:hAnsiTheme="minorHAnsi"/>
          <w:color w:val="000000" w:themeColor="text1"/>
          <w:sz w:val="20"/>
          <w:szCs w:val="20"/>
          <w:lang w:eastAsia="fr-FR"/>
        </w:rPr>
        <w:t xml:space="preserve"> </w:t>
      </w:r>
      <w:r w:rsidRPr="003C1661">
        <w:rPr>
          <w:rFonts w:asciiTheme="minorHAnsi" w:eastAsia="Times New Roman" w:hAnsiTheme="minorHAnsi"/>
          <w:color w:val="000000" w:themeColor="text1"/>
          <w:sz w:val="20"/>
          <w:szCs w:val="20"/>
          <w:lang w:eastAsia="fr-FR"/>
        </w:rPr>
        <w:t>+</w:t>
      </w:r>
      <w:r w:rsidR="00277225">
        <w:rPr>
          <w:rFonts w:asciiTheme="minorHAnsi" w:eastAsia="Times New Roman" w:hAnsiTheme="minorHAnsi"/>
          <w:color w:val="000000" w:themeColor="text1"/>
          <w:sz w:val="20"/>
          <w:szCs w:val="20"/>
          <w:lang w:eastAsia="fr-FR"/>
        </w:rPr>
        <w:t xml:space="preserve"> </w:t>
      </w:r>
      <w:r w:rsidR="003C1661" w:rsidRPr="003C1661">
        <w:rPr>
          <w:rFonts w:asciiTheme="minorHAnsi" w:eastAsia="Times New Roman" w:hAnsiTheme="minorHAnsi"/>
          <w:color w:val="000000" w:themeColor="text1"/>
          <w:sz w:val="20"/>
          <w:szCs w:val="20"/>
          <w:lang w:eastAsia="fr-FR"/>
        </w:rPr>
        <w:t>596</w:t>
      </w:r>
      <w:r w:rsidR="00277225">
        <w:rPr>
          <w:rFonts w:asciiTheme="minorHAnsi" w:eastAsia="Times New Roman" w:hAnsiTheme="minorHAnsi"/>
          <w:color w:val="000000" w:themeColor="text1"/>
          <w:sz w:val="20"/>
          <w:szCs w:val="20"/>
          <w:lang w:eastAsia="fr-FR"/>
        </w:rPr>
        <w:t xml:space="preserve"> </w:t>
      </w:r>
      <w:r w:rsidR="00E7728C" w:rsidRPr="003C1661">
        <w:rPr>
          <w:rFonts w:asciiTheme="minorHAnsi" w:eastAsia="Times New Roman" w:hAnsiTheme="minorHAnsi"/>
          <w:color w:val="000000" w:themeColor="text1"/>
          <w:sz w:val="20"/>
          <w:szCs w:val="20"/>
          <w:lang w:eastAsia="fr-FR"/>
        </w:rPr>
        <w:t>+</w:t>
      </w:r>
      <w:r w:rsidR="00277225">
        <w:rPr>
          <w:rFonts w:asciiTheme="minorHAnsi" w:eastAsia="Times New Roman" w:hAnsiTheme="minorHAnsi"/>
          <w:color w:val="000000" w:themeColor="text1"/>
          <w:sz w:val="20"/>
          <w:szCs w:val="20"/>
          <w:lang w:eastAsia="fr-FR"/>
        </w:rPr>
        <w:t xml:space="preserve"> </w:t>
      </w:r>
      <w:r w:rsidR="003C1661" w:rsidRPr="003C1661">
        <w:rPr>
          <w:rFonts w:asciiTheme="minorHAnsi" w:eastAsia="Times New Roman" w:hAnsiTheme="minorHAnsi"/>
          <w:color w:val="000000" w:themeColor="text1"/>
          <w:sz w:val="20"/>
          <w:szCs w:val="20"/>
          <w:lang w:eastAsia="fr-FR"/>
        </w:rPr>
        <w:t>144</w:t>
      </w:r>
      <w:r w:rsidR="00277225">
        <w:rPr>
          <w:rFonts w:asciiTheme="minorHAnsi" w:eastAsia="Times New Roman" w:hAnsiTheme="minorHAnsi"/>
          <w:color w:val="000000" w:themeColor="text1"/>
          <w:sz w:val="20"/>
          <w:szCs w:val="20"/>
          <w:lang w:eastAsia="fr-FR"/>
        </w:rPr>
        <w:t xml:space="preserve"> </w:t>
      </w:r>
      <w:r w:rsidR="00E7728C" w:rsidRPr="003C1661">
        <w:rPr>
          <w:rFonts w:asciiTheme="minorHAnsi" w:eastAsia="Times New Roman" w:hAnsiTheme="minorHAnsi"/>
          <w:color w:val="000000" w:themeColor="text1"/>
          <w:sz w:val="20"/>
          <w:szCs w:val="20"/>
          <w:lang w:eastAsia="fr-FR"/>
        </w:rPr>
        <w:t>+</w:t>
      </w:r>
      <w:r w:rsidR="00277225">
        <w:rPr>
          <w:rFonts w:asciiTheme="minorHAnsi" w:eastAsia="Times New Roman" w:hAnsiTheme="minorHAnsi"/>
          <w:color w:val="000000" w:themeColor="text1"/>
          <w:sz w:val="20"/>
          <w:szCs w:val="20"/>
          <w:lang w:eastAsia="fr-FR"/>
        </w:rPr>
        <w:t xml:space="preserve"> </w:t>
      </w:r>
      <w:r w:rsidR="003C1661" w:rsidRPr="003C1661">
        <w:rPr>
          <w:rFonts w:asciiTheme="minorHAnsi" w:eastAsia="Times New Roman" w:hAnsiTheme="minorHAnsi"/>
          <w:color w:val="000000" w:themeColor="text1"/>
          <w:sz w:val="20"/>
          <w:szCs w:val="20"/>
          <w:lang w:eastAsia="fr-FR"/>
        </w:rPr>
        <w:t>24</w:t>
      </w:r>
      <w:r w:rsidRPr="003C1661">
        <w:rPr>
          <w:rFonts w:asciiTheme="minorHAnsi" w:eastAsia="Times New Roman" w:hAnsiTheme="minorHAnsi"/>
          <w:color w:val="000000" w:themeColor="text1"/>
          <w:sz w:val="20"/>
          <w:szCs w:val="20"/>
          <w:lang w:eastAsia="fr-FR"/>
        </w:rPr>
        <w:t xml:space="preserve"> prescriptions jugées inutiles, sur </w:t>
      </w:r>
      <w:r w:rsidR="003C1661" w:rsidRPr="003C1661">
        <w:rPr>
          <w:rFonts w:asciiTheme="minorHAnsi" w:eastAsia="Times New Roman" w:hAnsiTheme="minorHAnsi"/>
          <w:color w:val="000000" w:themeColor="text1"/>
          <w:sz w:val="20"/>
          <w:szCs w:val="20"/>
          <w:lang w:eastAsia="fr-FR"/>
        </w:rPr>
        <w:t>108</w:t>
      </w:r>
      <w:r w:rsidR="00277225">
        <w:rPr>
          <w:rFonts w:asciiTheme="minorHAnsi" w:eastAsia="Times New Roman" w:hAnsiTheme="minorHAnsi"/>
          <w:color w:val="000000" w:themeColor="text1"/>
          <w:sz w:val="20"/>
          <w:szCs w:val="20"/>
          <w:lang w:eastAsia="fr-FR"/>
        </w:rPr>
        <w:t xml:space="preserve"> </w:t>
      </w:r>
      <w:r w:rsidRPr="003C1661">
        <w:rPr>
          <w:rFonts w:asciiTheme="minorHAnsi" w:eastAsia="Times New Roman" w:hAnsiTheme="minorHAnsi"/>
          <w:color w:val="000000" w:themeColor="text1"/>
          <w:sz w:val="20"/>
          <w:szCs w:val="20"/>
          <w:lang w:eastAsia="fr-FR"/>
        </w:rPr>
        <w:t>+</w:t>
      </w:r>
      <w:r w:rsidR="00277225">
        <w:rPr>
          <w:rFonts w:asciiTheme="minorHAnsi" w:eastAsia="Times New Roman" w:hAnsiTheme="minorHAnsi"/>
          <w:color w:val="000000" w:themeColor="text1"/>
          <w:sz w:val="20"/>
          <w:szCs w:val="20"/>
          <w:lang w:eastAsia="fr-FR"/>
        </w:rPr>
        <w:t xml:space="preserve"> </w:t>
      </w:r>
      <w:r w:rsidR="003C1661" w:rsidRPr="003C1661">
        <w:rPr>
          <w:rFonts w:asciiTheme="minorHAnsi" w:eastAsia="Times New Roman" w:hAnsiTheme="minorHAnsi"/>
          <w:color w:val="000000" w:themeColor="text1"/>
          <w:sz w:val="20"/>
          <w:szCs w:val="20"/>
          <w:lang w:eastAsia="fr-FR"/>
        </w:rPr>
        <w:t>3</w:t>
      </w:r>
      <w:r w:rsidR="00277225">
        <w:rPr>
          <w:rFonts w:asciiTheme="minorHAnsi" w:eastAsia="Times New Roman" w:hAnsiTheme="minorHAnsi"/>
          <w:color w:val="000000" w:themeColor="text1"/>
          <w:sz w:val="20"/>
          <w:szCs w:val="20"/>
          <w:lang w:eastAsia="fr-FR"/>
        </w:rPr>
        <w:t> </w:t>
      </w:r>
      <w:r w:rsidR="003C1661" w:rsidRPr="003C1661">
        <w:rPr>
          <w:rFonts w:asciiTheme="minorHAnsi" w:eastAsia="Times New Roman" w:hAnsiTheme="minorHAnsi"/>
          <w:color w:val="000000" w:themeColor="text1"/>
          <w:sz w:val="20"/>
          <w:szCs w:val="20"/>
          <w:lang w:eastAsia="fr-FR"/>
        </w:rPr>
        <w:t>506</w:t>
      </w:r>
      <w:r w:rsidR="00277225">
        <w:rPr>
          <w:rFonts w:asciiTheme="minorHAnsi" w:eastAsia="Times New Roman" w:hAnsiTheme="minorHAnsi"/>
          <w:color w:val="000000" w:themeColor="text1"/>
          <w:sz w:val="20"/>
          <w:szCs w:val="20"/>
          <w:lang w:eastAsia="fr-FR"/>
        </w:rPr>
        <w:t xml:space="preserve"> </w:t>
      </w:r>
      <w:r w:rsidRPr="003C1661">
        <w:rPr>
          <w:rFonts w:asciiTheme="minorHAnsi" w:eastAsia="Times New Roman" w:hAnsiTheme="minorHAnsi"/>
          <w:color w:val="000000" w:themeColor="text1"/>
          <w:sz w:val="20"/>
          <w:szCs w:val="20"/>
          <w:lang w:eastAsia="fr-FR"/>
        </w:rPr>
        <w:t>+</w:t>
      </w:r>
      <w:r w:rsidR="00277225">
        <w:rPr>
          <w:rFonts w:asciiTheme="minorHAnsi" w:eastAsia="Times New Roman" w:hAnsiTheme="minorHAnsi"/>
          <w:color w:val="000000" w:themeColor="text1"/>
          <w:sz w:val="20"/>
          <w:szCs w:val="20"/>
          <w:lang w:eastAsia="fr-FR"/>
        </w:rPr>
        <w:t xml:space="preserve"> </w:t>
      </w:r>
      <w:r w:rsidR="003C1661" w:rsidRPr="003C1661">
        <w:rPr>
          <w:rFonts w:asciiTheme="minorHAnsi" w:eastAsia="Times New Roman" w:hAnsiTheme="minorHAnsi"/>
          <w:color w:val="000000" w:themeColor="text1"/>
          <w:sz w:val="20"/>
          <w:szCs w:val="20"/>
          <w:lang w:eastAsia="fr-FR"/>
        </w:rPr>
        <w:t>272</w:t>
      </w:r>
      <w:r w:rsidR="00277225">
        <w:rPr>
          <w:rFonts w:asciiTheme="minorHAnsi" w:eastAsia="Times New Roman" w:hAnsiTheme="minorHAnsi"/>
          <w:color w:val="000000" w:themeColor="text1"/>
          <w:sz w:val="20"/>
          <w:szCs w:val="20"/>
          <w:lang w:eastAsia="fr-FR"/>
        </w:rPr>
        <w:t xml:space="preserve"> </w:t>
      </w:r>
      <w:r w:rsidRPr="003C1661">
        <w:rPr>
          <w:rFonts w:asciiTheme="minorHAnsi" w:eastAsia="Times New Roman" w:hAnsiTheme="minorHAnsi"/>
          <w:color w:val="000000" w:themeColor="text1"/>
          <w:sz w:val="20"/>
          <w:szCs w:val="20"/>
          <w:lang w:eastAsia="fr-FR"/>
        </w:rPr>
        <w:t>+</w:t>
      </w:r>
      <w:r w:rsidR="00277225">
        <w:rPr>
          <w:rFonts w:asciiTheme="minorHAnsi" w:eastAsia="Times New Roman" w:hAnsiTheme="minorHAnsi"/>
          <w:color w:val="000000" w:themeColor="text1"/>
          <w:sz w:val="20"/>
          <w:szCs w:val="20"/>
          <w:lang w:eastAsia="fr-FR"/>
        </w:rPr>
        <w:t xml:space="preserve"> </w:t>
      </w:r>
      <w:r w:rsidR="003C1661" w:rsidRPr="003C1661">
        <w:rPr>
          <w:rFonts w:asciiTheme="minorHAnsi" w:eastAsia="Times New Roman" w:hAnsiTheme="minorHAnsi"/>
          <w:color w:val="000000" w:themeColor="text1"/>
          <w:sz w:val="20"/>
          <w:szCs w:val="20"/>
          <w:lang w:eastAsia="fr-FR"/>
        </w:rPr>
        <w:t>178</w:t>
      </w:r>
      <w:r w:rsidRPr="003C1661">
        <w:rPr>
          <w:rFonts w:asciiTheme="minorHAnsi" w:eastAsia="Times New Roman" w:hAnsiTheme="minorHAnsi"/>
          <w:color w:val="000000" w:themeColor="text1"/>
          <w:sz w:val="20"/>
          <w:szCs w:val="20"/>
          <w:lang w:eastAsia="fr-FR"/>
        </w:rPr>
        <w:t xml:space="preserve"> séjours, soit un taux de séjours avec des prescriptions jugées inutiles de </w:t>
      </w:r>
      <w:r w:rsidR="003C1661" w:rsidRPr="003C1661">
        <w:rPr>
          <w:rFonts w:asciiTheme="minorHAnsi" w:eastAsia="Times New Roman" w:hAnsiTheme="minorHAnsi"/>
          <w:color w:val="000000" w:themeColor="text1"/>
          <w:sz w:val="20"/>
          <w:szCs w:val="20"/>
          <w:lang w:eastAsia="fr-FR"/>
        </w:rPr>
        <w:t>19</w:t>
      </w:r>
      <w:r w:rsidR="00E7728C" w:rsidRPr="003C1661">
        <w:rPr>
          <w:rFonts w:asciiTheme="minorHAnsi" w:eastAsia="Times New Roman" w:hAnsiTheme="minorHAnsi"/>
          <w:color w:val="000000" w:themeColor="text1"/>
          <w:sz w:val="20"/>
          <w:szCs w:val="20"/>
          <w:lang w:eastAsia="fr-FR"/>
        </w:rPr>
        <w:t>,</w:t>
      </w:r>
      <w:r w:rsidR="003C1661" w:rsidRPr="003C1661">
        <w:rPr>
          <w:rFonts w:asciiTheme="minorHAnsi" w:eastAsia="Times New Roman" w:hAnsiTheme="minorHAnsi"/>
          <w:color w:val="000000" w:themeColor="text1"/>
          <w:sz w:val="20"/>
          <w:szCs w:val="20"/>
          <w:lang w:eastAsia="fr-FR"/>
        </w:rPr>
        <w:t>2</w:t>
      </w:r>
      <w:r w:rsidR="00A461DF" w:rsidRPr="003C1661">
        <w:rPr>
          <w:rFonts w:asciiTheme="minorHAnsi" w:eastAsia="Times New Roman" w:hAnsiTheme="minorHAnsi"/>
          <w:color w:val="000000" w:themeColor="text1"/>
          <w:sz w:val="20"/>
          <w:szCs w:val="20"/>
          <w:lang w:eastAsia="fr-FR"/>
        </w:rPr>
        <w:t>% (disponible dans la partie 3-5 du profil).</w:t>
      </w:r>
      <w:r w:rsidR="00D15641" w:rsidRPr="003C1661">
        <w:rPr>
          <w:rFonts w:asciiTheme="minorHAnsi" w:eastAsia="Times New Roman" w:hAnsiTheme="minorHAnsi"/>
          <w:color w:val="000000" w:themeColor="text1"/>
          <w:sz w:val="20"/>
          <w:szCs w:val="20"/>
          <w:lang w:eastAsia="fr-FR"/>
        </w:rPr>
        <w:t xml:space="preserve"> Cet établissement peut donc être ciblé dans le cadre du CAQES. </w:t>
      </w:r>
    </w:p>
    <w:p w:rsidR="007D2C1C" w:rsidRDefault="007D2C1C" w:rsidP="007D2C1C">
      <w:pPr>
        <w:spacing w:before="0"/>
        <w:jc w:val="left"/>
        <w:rPr>
          <w:rFonts w:asciiTheme="minorHAnsi" w:hAnsiTheme="minorHAnsi"/>
          <w:color w:val="000000" w:themeColor="text1"/>
        </w:rPr>
      </w:pPr>
    </w:p>
    <w:p w:rsidR="002B3731" w:rsidRPr="003C1661" w:rsidRDefault="002B3731" w:rsidP="007D2C1C">
      <w:pPr>
        <w:spacing w:before="0"/>
        <w:jc w:val="left"/>
        <w:rPr>
          <w:rFonts w:asciiTheme="minorHAnsi" w:hAnsiTheme="minorHAnsi"/>
          <w:color w:val="000000" w:themeColor="text1"/>
        </w:rPr>
      </w:pPr>
    </w:p>
    <w:p w:rsidR="007D2C1C" w:rsidRPr="003C1661" w:rsidRDefault="007D2C1C" w:rsidP="007D2C1C">
      <w:pPr>
        <w:spacing w:before="0"/>
        <w:jc w:val="left"/>
        <w:rPr>
          <w:rFonts w:asciiTheme="minorHAnsi" w:eastAsia="Times New Roman" w:hAnsiTheme="minorHAnsi"/>
          <w:b/>
          <w:color w:val="000000" w:themeColor="text1"/>
          <w:sz w:val="20"/>
          <w:szCs w:val="20"/>
          <w:lang w:eastAsia="fr-FR"/>
        </w:rPr>
      </w:pPr>
      <w:r w:rsidRPr="003C1661">
        <w:rPr>
          <w:rFonts w:asciiTheme="minorHAnsi" w:eastAsia="Times New Roman" w:hAnsiTheme="minorHAnsi"/>
          <w:b/>
          <w:color w:val="000000" w:themeColor="text1"/>
          <w:sz w:val="20"/>
          <w:szCs w:val="20"/>
          <w:lang w:eastAsia="fr-FR"/>
        </w:rPr>
        <w:t>Calcul et mise en œuvre de la rémunération incitative</w:t>
      </w:r>
    </w:p>
    <w:p w:rsidR="00E55286" w:rsidRPr="008454BD" w:rsidRDefault="00E55286" w:rsidP="00D15641">
      <w:pPr>
        <w:rPr>
          <w:rFonts w:asciiTheme="minorHAnsi" w:hAnsiTheme="minorHAnsi"/>
          <w:color w:val="FF0000"/>
          <w:sz w:val="20"/>
        </w:rPr>
      </w:pPr>
    </w:p>
    <w:p w:rsidR="00D15641" w:rsidRPr="006B4C2D" w:rsidRDefault="00D15641" w:rsidP="00D15641">
      <w:pPr>
        <w:rPr>
          <w:rFonts w:asciiTheme="minorHAnsi" w:hAnsiTheme="minorHAnsi"/>
          <w:color w:val="000000" w:themeColor="text1"/>
          <w:sz w:val="20"/>
        </w:rPr>
      </w:pPr>
      <w:r w:rsidRPr="006B4C2D">
        <w:rPr>
          <w:rFonts w:asciiTheme="minorHAnsi" w:hAnsiTheme="minorHAnsi"/>
          <w:color w:val="000000" w:themeColor="text1"/>
          <w:sz w:val="20"/>
        </w:rPr>
        <w:t xml:space="preserve">La réalisation d’économies entre l’année N et l’année de référence sur les prescriptions évitables des examens pré anesthésiques d’un établissement donné permettra à cet établissement de santé d’être rémunéré à hauteur de </w:t>
      </w:r>
      <w:r w:rsidR="006B4C2D" w:rsidRPr="006B4C2D">
        <w:rPr>
          <w:rFonts w:asciiTheme="minorHAnsi" w:hAnsiTheme="minorHAnsi"/>
          <w:color w:val="000000" w:themeColor="text1"/>
          <w:sz w:val="20"/>
        </w:rPr>
        <w:t>3</w:t>
      </w:r>
      <w:r w:rsidRPr="006B4C2D">
        <w:rPr>
          <w:rFonts w:asciiTheme="minorHAnsi" w:hAnsiTheme="minorHAnsi"/>
          <w:color w:val="000000" w:themeColor="text1"/>
          <w:sz w:val="20"/>
        </w:rPr>
        <w:t>0% des économies générées (dépenses évitées) par l’assurance maladie obligatoire.</w:t>
      </w:r>
    </w:p>
    <w:p w:rsidR="00D5332B" w:rsidRPr="008454BD" w:rsidRDefault="00D5332B" w:rsidP="00D15641">
      <w:pPr>
        <w:spacing w:before="0"/>
        <w:rPr>
          <w:rFonts w:asciiTheme="minorHAnsi" w:hAnsiTheme="minorHAnsi"/>
          <w:color w:val="FF0000"/>
          <w:sz w:val="20"/>
        </w:rPr>
      </w:pPr>
    </w:p>
    <w:p w:rsidR="00D5332B" w:rsidRPr="00277225" w:rsidRDefault="00D15641" w:rsidP="00D15641">
      <w:pPr>
        <w:spacing w:before="0"/>
        <w:rPr>
          <w:rFonts w:asciiTheme="minorHAnsi" w:hAnsiTheme="minorHAnsi"/>
          <w:color w:val="000000" w:themeColor="text1"/>
          <w:sz w:val="20"/>
          <w:u w:val="single"/>
        </w:rPr>
      </w:pPr>
      <w:r w:rsidRPr="00277225">
        <w:rPr>
          <w:rFonts w:asciiTheme="minorHAnsi" w:hAnsiTheme="minorHAnsi"/>
          <w:color w:val="000000" w:themeColor="text1"/>
          <w:sz w:val="20"/>
          <w:u w:val="single"/>
        </w:rPr>
        <w:t xml:space="preserve">Définition : </w:t>
      </w:r>
    </w:p>
    <w:p w:rsidR="00D15641" w:rsidRPr="00277225" w:rsidRDefault="00D15641" w:rsidP="00D15641">
      <w:pPr>
        <w:pStyle w:val="Paragraphedeliste"/>
        <w:numPr>
          <w:ilvl w:val="0"/>
          <w:numId w:val="10"/>
        </w:numPr>
        <w:spacing w:before="0"/>
        <w:jc w:val="both"/>
        <w:rPr>
          <w:rFonts w:asciiTheme="minorHAnsi" w:hAnsiTheme="minorHAnsi"/>
          <w:color w:val="000000" w:themeColor="text1"/>
          <w:sz w:val="20"/>
          <w:u w:val="none"/>
          <w:lang w:val="fr-FR"/>
        </w:rPr>
      </w:pPr>
      <w:r w:rsidRPr="00277225">
        <w:rPr>
          <w:rFonts w:asciiTheme="minorHAnsi" w:hAnsiTheme="minorHAnsi"/>
          <w:i/>
          <w:color w:val="000000" w:themeColor="text1"/>
          <w:sz w:val="20"/>
          <w:u w:val="none"/>
          <w:lang w:val="fr-FR"/>
        </w:rPr>
        <w:t>Année de référence</w:t>
      </w:r>
      <w:r w:rsidRPr="00277225">
        <w:rPr>
          <w:rFonts w:asciiTheme="minorHAnsi" w:hAnsiTheme="minorHAnsi"/>
          <w:color w:val="000000" w:themeColor="text1"/>
          <w:sz w:val="20"/>
          <w:u w:val="none"/>
          <w:lang w:val="fr-FR"/>
        </w:rPr>
        <w:t xml:space="preserve"> : on entend par “année de référence” l’année T0 à partir de laquelle est calculé l’indicateur. Cette année de référence peut être modifiée chaque année si l’établissement à un taux en </w:t>
      </w:r>
      <w:r w:rsidR="00277225" w:rsidRPr="00277225">
        <w:rPr>
          <w:rFonts w:asciiTheme="minorHAnsi" w:hAnsiTheme="minorHAnsi"/>
          <w:color w:val="000000" w:themeColor="text1"/>
          <w:sz w:val="20"/>
          <w:u w:val="none"/>
          <w:lang w:val="fr-FR"/>
        </w:rPr>
        <w:t>deçà</w:t>
      </w:r>
      <w:r w:rsidRPr="00277225">
        <w:rPr>
          <w:rFonts w:asciiTheme="minorHAnsi" w:hAnsiTheme="minorHAnsi"/>
          <w:color w:val="000000" w:themeColor="text1"/>
          <w:sz w:val="20"/>
          <w:u w:val="none"/>
          <w:lang w:val="fr-FR"/>
        </w:rPr>
        <w:t xml:space="preserve"> de l’année de référence (ex. 201</w:t>
      </w:r>
      <w:r w:rsidR="00277225" w:rsidRPr="00277225">
        <w:rPr>
          <w:rFonts w:asciiTheme="minorHAnsi" w:hAnsiTheme="minorHAnsi"/>
          <w:color w:val="000000" w:themeColor="text1"/>
          <w:sz w:val="20"/>
          <w:u w:val="none"/>
          <w:lang w:val="fr-FR"/>
        </w:rPr>
        <w:t>7</w:t>
      </w:r>
      <w:r w:rsidRPr="00277225">
        <w:rPr>
          <w:rFonts w:asciiTheme="minorHAnsi" w:hAnsiTheme="minorHAnsi"/>
          <w:color w:val="000000" w:themeColor="text1"/>
          <w:sz w:val="20"/>
          <w:u w:val="none"/>
          <w:lang w:val="fr-FR"/>
        </w:rPr>
        <w:t> </w:t>
      </w:r>
      <w:r w:rsidR="00277225" w:rsidRPr="00277225">
        <w:rPr>
          <w:rFonts w:asciiTheme="minorHAnsi" w:hAnsiTheme="minorHAnsi"/>
          <w:color w:val="000000" w:themeColor="text1"/>
          <w:sz w:val="20"/>
          <w:u w:val="none"/>
          <w:lang w:val="fr-FR"/>
        </w:rPr>
        <w:t xml:space="preserve">pour l’indicateur 1 </w:t>
      </w:r>
      <w:r w:rsidRPr="00277225">
        <w:rPr>
          <w:rFonts w:asciiTheme="minorHAnsi" w:hAnsiTheme="minorHAnsi"/>
          <w:color w:val="000000" w:themeColor="text1"/>
          <w:sz w:val="20"/>
          <w:u w:val="none"/>
          <w:lang w:val="fr-FR"/>
        </w:rPr>
        <w:t xml:space="preserve">: l’établissement XXX a un taux de </w:t>
      </w:r>
      <w:r w:rsidR="00277225" w:rsidRPr="00277225">
        <w:rPr>
          <w:rFonts w:asciiTheme="minorHAnsi" w:hAnsiTheme="minorHAnsi"/>
          <w:color w:val="000000" w:themeColor="text1"/>
          <w:sz w:val="20"/>
          <w:u w:val="none"/>
          <w:lang w:val="fr-FR"/>
        </w:rPr>
        <w:t>70</w:t>
      </w:r>
      <w:r w:rsidRPr="00277225">
        <w:rPr>
          <w:rFonts w:asciiTheme="minorHAnsi" w:hAnsiTheme="minorHAnsi"/>
          <w:color w:val="000000" w:themeColor="text1"/>
          <w:sz w:val="20"/>
          <w:u w:val="none"/>
          <w:lang w:val="fr-FR"/>
        </w:rPr>
        <w:t>.</w:t>
      </w:r>
      <w:r w:rsidR="00277225" w:rsidRPr="00277225">
        <w:rPr>
          <w:rFonts w:asciiTheme="minorHAnsi" w:hAnsiTheme="minorHAnsi"/>
          <w:color w:val="000000" w:themeColor="text1"/>
          <w:sz w:val="20"/>
          <w:u w:val="none"/>
          <w:lang w:val="fr-FR"/>
        </w:rPr>
        <w:t>3</w:t>
      </w:r>
      <w:r w:rsidRPr="00277225">
        <w:rPr>
          <w:rFonts w:asciiTheme="minorHAnsi" w:hAnsiTheme="minorHAnsi"/>
          <w:color w:val="000000" w:themeColor="text1"/>
          <w:sz w:val="20"/>
          <w:u w:val="none"/>
          <w:lang w:val="fr-FR"/>
        </w:rPr>
        <w:t xml:space="preserve">% ; en 2018, l’établissement a diminué son taux pour arriver à </w:t>
      </w:r>
      <w:r w:rsidR="00277225" w:rsidRPr="00277225">
        <w:rPr>
          <w:rFonts w:asciiTheme="minorHAnsi" w:hAnsiTheme="minorHAnsi"/>
          <w:color w:val="000000" w:themeColor="text1"/>
          <w:sz w:val="20"/>
          <w:u w:val="none"/>
          <w:lang w:val="fr-FR"/>
        </w:rPr>
        <w:t>16.7</w:t>
      </w:r>
      <w:r w:rsidRPr="00277225">
        <w:rPr>
          <w:rFonts w:asciiTheme="minorHAnsi" w:hAnsiTheme="minorHAnsi"/>
          <w:color w:val="000000" w:themeColor="text1"/>
          <w:sz w:val="20"/>
          <w:u w:val="none"/>
          <w:lang w:val="fr-FR"/>
        </w:rPr>
        <w:t xml:space="preserve">%. L’année de référence deviendra 2018 pour le calcul de l’indicateur en 2019). Cette méthodologie permet de prendre en compte les efforts de l’établissement pour chacun des indicateurs et ainsi éviter les effets « yoyo ». L’année de référence prise en compte peut être différente pour chacun des indicateurs. </w:t>
      </w:r>
    </w:p>
    <w:p w:rsidR="00971694" w:rsidRPr="006B4C2D" w:rsidRDefault="00971694" w:rsidP="006B4C2D">
      <w:pPr>
        <w:spacing w:before="0"/>
        <w:ind w:left="708"/>
        <w:rPr>
          <w:rFonts w:asciiTheme="minorHAnsi" w:hAnsiTheme="minorHAnsi"/>
          <w:color w:val="FF0000"/>
          <w:sz w:val="20"/>
        </w:rPr>
      </w:pPr>
    </w:p>
    <w:p w:rsidR="0041797A" w:rsidRPr="006B4C2D" w:rsidRDefault="00D15641" w:rsidP="0041797A">
      <w:pPr>
        <w:spacing w:line="360" w:lineRule="auto"/>
        <w:rPr>
          <w:rFonts w:asciiTheme="minorHAnsi" w:hAnsiTheme="minorHAnsi"/>
          <w:color w:val="000000" w:themeColor="text1"/>
          <w:sz w:val="20"/>
        </w:rPr>
      </w:pPr>
      <w:r w:rsidRPr="006B4C2D">
        <w:rPr>
          <w:rFonts w:asciiTheme="minorHAnsi" w:hAnsiTheme="minorHAnsi"/>
          <w:color w:val="000000" w:themeColor="text1"/>
          <w:sz w:val="20"/>
          <w:u w:val="single"/>
        </w:rPr>
        <w:t xml:space="preserve">Exemple : </w:t>
      </w:r>
      <w:r w:rsidR="0041797A" w:rsidRPr="006B4C2D">
        <w:rPr>
          <w:rFonts w:asciiTheme="minorHAnsi" w:hAnsiTheme="minorHAnsi"/>
          <w:color w:val="000000" w:themeColor="text1"/>
          <w:sz w:val="20"/>
          <w:u w:val="single"/>
        </w:rPr>
        <w:t xml:space="preserve">Pour l’économie de l’indicateur </w:t>
      </w:r>
      <w:r w:rsidRPr="006B4C2D">
        <w:rPr>
          <w:rFonts w:asciiTheme="minorHAnsi" w:hAnsiTheme="minorHAnsi"/>
          <w:color w:val="000000" w:themeColor="text1"/>
          <w:sz w:val="20"/>
          <w:u w:val="single"/>
        </w:rPr>
        <w:t>1</w:t>
      </w:r>
      <w:r w:rsidRPr="006B4C2D">
        <w:rPr>
          <w:rFonts w:asciiTheme="minorHAnsi" w:hAnsiTheme="minorHAnsi"/>
          <w:color w:val="000000" w:themeColor="text1"/>
          <w:sz w:val="20"/>
        </w:rPr>
        <w:t xml:space="preserve"> </w:t>
      </w:r>
      <w:r w:rsidR="0041797A" w:rsidRPr="006B4C2D">
        <w:rPr>
          <w:rFonts w:asciiTheme="minorHAnsi" w:hAnsiTheme="minorHAnsi"/>
          <w:color w:val="000000" w:themeColor="text1"/>
          <w:sz w:val="20"/>
        </w:rPr>
        <w:t>;</w:t>
      </w:r>
    </w:p>
    <w:p w:rsidR="0041797A" w:rsidRPr="006B4C2D" w:rsidRDefault="0041797A" w:rsidP="0041797A">
      <w:pPr>
        <w:pStyle w:val="Paragraphedeliste"/>
        <w:numPr>
          <w:ilvl w:val="0"/>
          <w:numId w:val="7"/>
        </w:numPr>
        <w:spacing w:line="360" w:lineRule="auto"/>
        <w:ind w:left="669"/>
        <w:rPr>
          <w:rFonts w:asciiTheme="minorHAnsi" w:hAnsiTheme="minorHAnsi"/>
          <w:color w:val="000000" w:themeColor="text1"/>
          <w:sz w:val="20"/>
          <w:u w:val="none"/>
          <w:lang w:val="fr-FR"/>
        </w:rPr>
      </w:pPr>
      <w:r w:rsidRPr="006B4C2D">
        <w:rPr>
          <w:rFonts w:asciiTheme="minorHAnsi" w:hAnsiTheme="minorHAnsi"/>
          <w:color w:val="000000" w:themeColor="text1"/>
          <w:sz w:val="20"/>
          <w:u w:val="none"/>
          <w:lang w:val="fr-FR"/>
        </w:rPr>
        <w:t>Si l</w:t>
      </w:r>
      <w:r w:rsidR="00D44E60" w:rsidRPr="006B4C2D">
        <w:rPr>
          <w:rFonts w:asciiTheme="minorHAnsi" w:hAnsiTheme="minorHAnsi"/>
          <w:color w:val="000000" w:themeColor="text1"/>
          <w:sz w:val="20"/>
          <w:u w:val="none"/>
          <w:lang w:val="fr-FR"/>
        </w:rPr>
        <w:t>’indicateur</w:t>
      </w:r>
      <w:r w:rsidR="00D15641" w:rsidRPr="006B4C2D">
        <w:rPr>
          <w:rFonts w:asciiTheme="minorHAnsi" w:hAnsiTheme="minorHAnsi"/>
          <w:color w:val="000000" w:themeColor="text1"/>
          <w:sz w:val="20"/>
          <w:u w:val="none"/>
          <w:lang w:val="fr-FR"/>
        </w:rPr>
        <w:t xml:space="preserve"> 1</w:t>
      </w:r>
      <w:r w:rsidRPr="006B4C2D">
        <w:rPr>
          <w:rFonts w:asciiTheme="minorHAnsi" w:hAnsiTheme="minorHAnsi"/>
          <w:color w:val="000000" w:themeColor="text1"/>
          <w:sz w:val="20"/>
          <w:u w:val="none"/>
          <w:lang w:val="fr-FR"/>
        </w:rPr>
        <w:t xml:space="preserve"> baisse par rapport </w:t>
      </w:r>
      <w:r w:rsidR="00D44E60" w:rsidRPr="006B4C2D">
        <w:rPr>
          <w:rFonts w:asciiTheme="minorHAnsi" w:hAnsiTheme="minorHAnsi"/>
          <w:color w:val="000000" w:themeColor="text1"/>
          <w:sz w:val="20"/>
          <w:u w:val="none"/>
          <w:lang w:val="fr-FR"/>
        </w:rPr>
        <w:t>à</w:t>
      </w:r>
      <w:r w:rsidRPr="006B4C2D">
        <w:rPr>
          <w:rFonts w:asciiTheme="minorHAnsi" w:hAnsiTheme="minorHAnsi"/>
          <w:color w:val="000000" w:themeColor="text1"/>
          <w:sz w:val="20"/>
          <w:u w:val="none"/>
          <w:lang w:val="fr-FR"/>
        </w:rPr>
        <w:t xml:space="preserve"> l’indicateur </w:t>
      </w:r>
      <w:r w:rsidR="00D15641" w:rsidRPr="006B4C2D">
        <w:rPr>
          <w:rFonts w:asciiTheme="minorHAnsi" w:hAnsiTheme="minorHAnsi"/>
          <w:color w:val="000000" w:themeColor="text1"/>
          <w:sz w:val="20"/>
          <w:u w:val="none"/>
          <w:lang w:val="fr-FR"/>
        </w:rPr>
        <w:t>1</w:t>
      </w:r>
      <w:r w:rsidRPr="006B4C2D">
        <w:rPr>
          <w:rFonts w:asciiTheme="minorHAnsi" w:hAnsiTheme="minorHAnsi"/>
          <w:color w:val="000000" w:themeColor="text1"/>
          <w:sz w:val="20"/>
          <w:u w:val="none"/>
          <w:lang w:val="fr-FR"/>
        </w:rPr>
        <w:t xml:space="preserve"> de référence (taux minimum des années antérieures), alors ;</w:t>
      </w:r>
    </w:p>
    <w:p w:rsidR="0041797A" w:rsidRPr="006B4C2D" w:rsidRDefault="0041797A" w:rsidP="005E540B">
      <w:pPr>
        <w:spacing w:line="360" w:lineRule="auto"/>
        <w:ind w:left="-90"/>
        <w:rPr>
          <w:rFonts w:asciiTheme="minorHAnsi" w:hAnsiTheme="minorHAnsi"/>
          <w:color w:val="000000" w:themeColor="text1"/>
          <w:sz w:val="20"/>
          <w:bdr w:val="single" w:sz="4" w:space="0" w:color="auto"/>
        </w:rPr>
      </w:pPr>
      <w:r w:rsidRPr="006B4C2D">
        <w:rPr>
          <w:rFonts w:asciiTheme="minorHAnsi" w:hAnsiTheme="minorHAnsi"/>
          <w:color w:val="000000" w:themeColor="text1"/>
          <w:sz w:val="20"/>
          <w:bdr w:val="single" w:sz="4" w:space="0" w:color="auto"/>
        </w:rPr>
        <w:t xml:space="preserve">Eco. Indicateur </w:t>
      </w:r>
      <w:r w:rsidR="00D15641" w:rsidRPr="006B4C2D">
        <w:rPr>
          <w:rFonts w:asciiTheme="minorHAnsi" w:hAnsiTheme="minorHAnsi"/>
          <w:color w:val="000000" w:themeColor="text1"/>
          <w:sz w:val="20"/>
          <w:bdr w:val="single" w:sz="4" w:space="0" w:color="auto"/>
        </w:rPr>
        <w:t>1</w:t>
      </w:r>
      <w:r w:rsidRPr="006B4C2D">
        <w:rPr>
          <w:rFonts w:asciiTheme="minorHAnsi" w:hAnsiTheme="minorHAnsi"/>
          <w:color w:val="000000" w:themeColor="text1"/>
          <w:sz w:val="20"/>
          <w:bdr w:val="single" w:sz="4" w:space="0" w:color="auto"/>
        </w:rPr>
        <w:t xml:space="preserve"> = </w:t>
      </w:r>
      <w:r w:rsidR="006B4C2D">
        <w:rPr>
          <w:rFonts w:asciiTheme="minorHAnsi" w:hAnsiTheme="minorHAnsi"/>
          <w:color w:val="000000" w:themeColor="text1"/>
          <w:sz w:val="20"/>
          <w:bdr w:val="single" w:sz="4" w:space="0" w:color="auto"/>
        </w:rPr>
        <w:t>3</w:t>
      </w:r>
      <w:r w:rsidRPr="006B4C2D">
        <w:rPr>
          <w:rFonts w:asciiTheme="minorHAnsi" w:hAnsiTheme="minorHAnsi"/>
          <w:color w:val="000000" w:themeColor="text1"/>
          <w:sz w:val="20"/>
          <w:bdr w:val="single" w:sz="4" w:space="0" w:color="auto"/>
        </w:rPr>
        <w:t>0% * Nombre de séjours évités * montant remboursable des actes *60%</w:t>
      </w:r>
      <w:r w:rsidR="00FE4BE2" w:rsidRPr="006B4C2D">
        <w:rPr>
          <w:rFonts w:asciiTheme="minorHAnsi" w:hAnsiTheme="minorHAnsi"/>
          <w:color w:val="000000" w:themeColor="text1"/>
          <w:sz w:val="20"/>
          <w:bdr w:val="single" w:sz="4" w:space="0" w:color="auto"/>
        </w:rPr>
        <w:t xml:space="preserve"> (</w:t>
      </w:r>
      <w:r w:rsidR="00D15641" w:rsidRPr="006B4C2D">
        <w:rPr>
          <w:rFonts w:asciiTheme="minorHAnsi" w:hAnsiTheme="minorHAnsi"/>
          <w:color w:val="000000" w:themeColor="text1"/>
          <w:sz w:val="20"/>
          <w:bdr w:val="single" w:sz="4" w:space="0" w:color="auto"/>
        </w:rPr>
        <w:t>taux de prise en charge des actes</w:t>
      </w:r>
    </w:p>
    <w:p w:rsidR="0041797A" w:rsidRPr="006B4C2D" w:rsidRDefault="00D44E60" w:rsidP="00D44E60">
      <w:pPr>
        <w:spacing w:line="360" w:lineRule="auto"/>
        <w:ind w:firstLine="669"/>
        <w:rPr>
          <w:rFonts w:asciiTheme="minorHAnsi" w:hAnsiTheme="minorHAnsi"/>
          <w:color w:val="000000" w:themeColor="text1"/>
          <w:sz w:val="20"/>
        </w:rPr>
      </w:pPr>
      <w:r w:rsidRPr="006B4C2D">
        <w:rPr>
          <w:rFonts w:asciiTheme="minorHAnsi" w:hAnsiTheme="minorHAnsi"/>
          <w:color w:val="000000" w:themeColor="text1"/>
          <w:sz w:val="20"/>
        </w:rPr>
        <w:t xml:space="preserve"> </w:t>
      </w:r>
      <w:r w:rsidR="005E540B" w:rsidRPr="006B4C2D">
        <w:rPr>
          <w:rFonts w:asciiTheme="minorHAnsi" w:hAnsiTheme="minorHAnsi"/>
          <w:color w:val="000000" w:themeColor="text1"/>
          <w:sz w:val="20"/>
        </w:rPr>
        <w:t>Le</w:t>
      </w:r>
      <w:r w:rsidRPr="006B4C2D">
        <w:rPr>
          <w:rFonts w:asciiTheme="minorHAnsi" w:hAnsiTheme="minorHAnsi"/>
          <w:color w:val="000000" w:themeColor="text1"/>
          <w:sz w:val="20"/>
        </w:rPr>
        <w:t xml:space="preserve"> n</w:t>
      </w:r>
      <w:r w:rsidR="0041797A" w:rsidRPr="006B4C2D">
        <w:rPr>
          <w:rFonts w:asciiTheme="minorHAnsi" w:hAnsiTheme="minorHAnsi"/>
          <w:color w:val="000000" w:themeColor="text1"/>
          <w:sz w:val="20"/>
        </w:rPr>
        <w:t>ombre de séjour évité</w:t>
      </w:r>
      <w:r w:rsidRPr="006B4C2D">
        <w:rPr>
          <w:rFonts w:asciiTheme="minorHAnsi" w:hAnsiTheme="minorHAnsi"/>
          <w:color w:val="000000" w:themeColor="text1"/>
          <w:sz w:val="20"/>
        </w:rPr>
        <w:t xml:space="preserve">  = (Indicateur </w:t>
      </w:r>
      <w:r w:rsidR="00D15641" w:rsidRPr="006B4C2D">
        <w:rPr>
          <w:rFonts w:asciiTheme="minorHAnsi" w:hAnsiTheme="minorHAnsi"/>
          <w:color w:val="000000" w:themeColor="text1"/>
          <w:sz w:val="20"/>
        </w:rPr>
        <w:t>1</w:t>
      </w:r>
      <w:r w:rsidR="0041797A" w:rsidRPr="006B4C2D">
        <w:rPr>
          <w:rFonts w:asciiTheme="minorHAnsi" w:hAnsiTheme="minorHAnsi"/>
          <w:color w:val="000000" w:themeColor="text1"/>
          <w:sz w:val="20"/>
        </w:rPr>
        <w:t xml:space="preserve"> –</w:t>
      </w:r>
      <w:r w:rsidRPr="006B4C2D">
        <w:rPr>
          <w:rFonts w:asciiTheme="minorHAnsi" w:hAnsiTheme="minorHAnsi"/>
          <w:color w:val="000000" w:themeColor="text1"/>
          <w:sz w:val="20"/>
        </w:rPr>
        <w:t xml:space="preserve"> Indicateur </w:t>
      </w:r>
      <w:r w:rsidR="00D15641" w:rsidRPr="006B4C2D">
        <w:rPr>
          <w:rFonts w:asciiTheme="minorHAnsi" w:hAnsiTheme="minorHAnsi"/>
          <w:color w:val="000000" w:themeColor="text1"/>
          <w:sz w:val="20"/>
        </w:rPr>
        <w:t>1</w:t>
      </w:r>
      <w:r w:rsidRPr="006B4C2D">
        <w:rPr>
          <w:rFonts w:asciiTheme="minorHAnsi" w:hAnsiTheme="minorHAnsi"/>
          <w:color w:val="000000" w:themeColor="text1"/>
          <w:sz w:val="20"/>
        </w:rPr>
        <w:t xml:space="preserve"> de </w:t>
      </w:r>
      <w:proofErr w:type="spellStart"/>
      <w:r w:rsidRPr="006B4C2D">
        <w:rPr>
          <w:rFonts w:asciiTheme="minorHAnsi" w:hAnsiTheme="minorHAnsi"/>
          <w:color w:val="000000" w:themeColor="text1"/>
          <w:sz w:val="20"/>
        </w:rPr>
        <w:t>ref</w:t>
      </w:r>
      <w:proofErr w:type="spellEnd"/>
      <w:r w:rsidRPr="006B4C2D">
        <w:rPr>
          <w:rFonts w:asciiTheme="minorHAnsi" w:hAnsiTheme="minorHAnsi"/>
          <w:color w:val="000000" w:themeColor="text1"/>
          <w:sz w:val="20"/>
        </w:rPr>
        <w:t>.)*Nombre de séjour</w:t>
      </w:r>
    </w:p>
    <w:p w:rsidR="0041797A" w:rsidRPr="006B4C2D" w:rsidRDefault="0041797A" w:rsidP="0041797A">
      <w:pPr>
        <w:pStyle w:val="Paragraphedeliste"/>
        <w:numPr>
          <w:ilvl w:val="0"/>
          <w:numId w:val="7"/>
        </w:numPr>
        <w:spacing w:line="360" w:lineRule="auto"/>
        <w:ind w:left="669"/>
        <w:rPr>
          <w:rFonts w:asciiTheme="minorHAnsi" w:hAnsiTheme="minorHAnsi"/>
          <w:color w:val="000000" w:themeColor="text1"/>
          <w:sz w:val="20"/>
          <w:u w:val="none"/>
          <w:lang w:val="fr-FR"/>
        </w:rPr>
      </w:pPr>
      <w:r w:rsidRPr="006B4C2D">
        <w:rPr>
          <w:rFonts w:asciiTheme="minorHAnsi" w:hAnsiTheme="minorHAnsi"/>
          <w:color w:val="000000" w:themeColor="text1"/>
          <w:sz w:val="20"/>
          <w:u w:val="none"/>
          <w:lang w:val="fr-FR"/>
        </w:rPr>
        <w:t xml:space="preserve">Si le taux de séjour évitable ne diminue pas, alors ; </w:t>
      </w:r>
      <w:r w:rsidRPr="006B4C2D">
        <w:rPr>
          <w:rFonts w:asciiTheme="minorHAnsi" w:hAnsiTheme="minorHAnsi"/>
          <w:color w:val="000000" w:themeColor="text1"/>
          <w:sz w:val="20"/>
          <w:u w:val="none"/>
          <w:bdr w:val="single" w:sz="4" w:space="0" w:color="auto"/>
          <w:lang w:val="fr-FR"/>
        </w:rPr>
        <w:t xml:space="preserve">Eco. Indicateur </w:t>
      </w:r>
      <w:r w:rsidR="00D15641" w:rsidRPr="006B4C2D">
        <w:rPr>
          <w:rFonts w:asciiTheme="minorHAnsi" w:hAnsiTheme="minorHAnsi"/>
          <w:color w:val="000000" w:themeColor="text1"/>
          <w:sz w:val="20"/>
          <w:u w:val="none"/>
          <w:bdr w:val="single" w:sz="4" w:space="0" w:color="auto"/>
          <w:lang w:val="fr-FR"/>
        </w:rPr>
        <w:t>1</w:t>
      </w:r>
      <w:r w:rsidRPr="006B4C2D">
        <w:rPr>
          <w:rFonts w:asciiTheme="minorHAnsi" w:hAnsiTheme="minorHAnsi"/>
          <w:color w:val="000000" w:themeColor="text1"/>
          <w:sz w:val="20"/>
          <w:u w:val="none"/>
          <w:bdr w:val="single" w:sz="4" w:space="0" w:color="auto"/>
          <w:lang w:val="fr-FR"/>
        </w:rPr>
        <w:t>=0</w:t>
      </w:r>
    </w:p>
    <w:p w:rsidR="003902FA" w:rsidRPr="006B4C2D" w:rsidRDefault="003902FA" w:rsidP="007D2C1C">
      <w:pPr>
        <w:spacing w:before="0"/>
        <w:jc w:val="left"/>
        <w:rPr>
          <w:rFonts w:asciiTheme="minorHAnsi" w:eastAsia="Times New Roman" w:hAnsiTheme="minorHAnsi"/>
          <w:color w:val="000000" w:themeColor="text1"/>
          <w:sz w:val="20"/>
          <w:szCs w:val="20"/>
          <w:u w:val="single"/>
          <w:lang w:eastAsia="fr-FR"/>
        </w:rPr>
      </w:pPr>
    </w:p>
    <w:p w:rsidR="00D15641" w:rsidRPr="006B4C2D" w:rsidRDefault="00D15641" w:rsidP="00D15641">
      <w:pPr>
        <w:pBdr>
          <w:top w:val="single" w:sz="4" w:space="1" w:color="auto"/>
          <w:left w:val="single" w:sz="4" w:space="4" w:color="auto"/>
          <w:bottom w:val="single" w:sz="4" w:space="1" w:color="auto"/>
          <w:right w:val="single" w:sz="4" w:space="4" w:color="auto"/>
        </w:pBdr>
        <w:spacing w:line="360" w:lineRule="auto"/>
        <w:rPr>
          <w:rFonts w:asciiTheme="minorHAnsi" w:hAnsiTheme="minorHAnsi"/>
          <w:color w:val="000000" w:themeColor="text1"/>
          <w:sz w:val="20"/>
        </w:rPr>
      </w:pPr>
      <w:r w:rsidRPr="006B4C2D">
        <w:rPr>
          <w:rFonts w:asciiTheme="minorHAnsi" w:hAnsiTheme="minorHAnsi"/>
          <w:b/>
          <w:color w:val="000000" w:themeColor="text1"/>
          <w:sz w:val="20"/>
        </w:rPr>
        <w:t xml:space="preserve">Rémunération Totale </w:t>
      </w:r>
      <w:r w:rsidRPr="006B4C2D">
        <w:rPr>
          <w:rFonts w:asciiTheme="minorHAnsi" w:hAnsiTheme="minorHAnsi"/>
          <w:color w:val="000000" w:themeColor="text1"/>
          <w:sz w:val="20"/>
        </w:rPr>
        <w:t>= Eco. Indicateur 1 + Eco. Indicateur 2 + Eco. Indicateur 3 + Eco. Indicateur 4</w:t>
      </w:r>
    </w:p>
    <w:p w:rsidR="00D15641" w:rsidRPr="006B4C2D" w:rsidRDefault="00D15641" w:rsidP="007D2C1C">
      <w:pPr>
        <w:spacing w:before="0"/>
        <w:jc w:val="left"/>
        <w:rPr>
          <w:rFonts w:asciiTheme="minorHAnsi" w:eastAsia="Times New Roman" w:hAnsiTheme="minorHAnsi"/>
          <w:sz w:val="20"/>
          <w:szCs w:val="20"/>
          <w:u w:val="single"/>
          <w:lang w:eastAsia="fr-FR"/>
        </w:rPr>
      </w:pPr>
    </w:p>
    <w:p w:rsidR="007D2C1C" w:rsidRPr="006B4C2D" w:rsidRDefault="007D2C1C" w:rsidP="007D2C1C">
      <w:pPr>
        <w:spacing w:before="0"/>
        <w:jc w:val="left"/>
        <w:rPr>
          <w:rFonts w:asciiTheme="minorHAnsi" w:eastAsia="Times New Roman" w:hAnsiTheme="minorHAnsi"/>
          <w:sz w:val="20"/>
          <w:szCs w:val="20"/>
          <w:u w:val="single"/>
          <w:lang w:eastAsia="fr-FR"/>
        </w:rPr>
      </w:pPr>
      <w:r w:rsidRPr="006B4C2D">
        <w:rPr>
          <w:rFonts w:asciiTheme="minorHAnsi" w:eastAsia="Times New Roman" w:hAnsiTheme="minorHAnsi"/>
          <w:sz w:val="20"/>
          <w:szCs w:val="20"/>
          <w:u w:val="single"/>
          <w:lang w:eastAsia="fr-FR"/>
        </w:rPr>
        <w:t xml:space="preserve">Exemple de rémunération </w:t>
      </w:r>
      <w:r w:rsidR="00D44E60" w:rsidRPr="006B4C2D">
        <w:rPr>
          <w:rFonts w:asciiTheme="minorHAnsi" w:eastAsia="Times New Roman" w:hAnsiTheme="minorHAnsi"/>
          <w:sz w:val="20"/>
          <w:szCs w:val="20"/>
          <w:u w:val="single"/>
          <w:lang w:eastAsia="fr-FR"/>
        </w:rPr>
        <w:t>pour l’</w:t>
      </w:r>
      <w:r w:rsidRPr="006B4C2D">
        <w:rPr>
          <w:rFonts w:asciiTheme="minorHAnsi" w:eastAsia="Times New Roman" w:hAnsiTheme="minorHAnsi"/>
          <w:sz w:val="20"/>
          <w:szCs w:val="20"/>
          <w:u w:val="single"/>
          <w:lang w:eastAsia="fr-FR"/>
        </w:rPr>
        <w:t>établissement hospitalier</w:t>
      </w:r>
      <w:r w:rsidR="00D44E60" w:rsidRPr="006B4C2D">
        <w:rPr>
          <w:rFonts w:asciiTheme="minorHAnsi" w:eastAsia="Times New Roman" w:hAnsiTheme="minorHAnsi"/>
          <w:sz w:val="20"/>
          <w:szCs w:val="20"/>
          <w:u w:val="single"/>
          <w:lang w:eastAsia="fr-FR"/>
        </w:rPr>
        <w:t xml:space="preserve"> xxx</w:t>
      </w:r>
    </w:p>
    <w:p w:rsidR="00D44E60" w:rsidRPr="008454BD" w:rsidRDefault="00D44E60" w:rsidP="00E70F3D">
      <w:pPr>
        <w:spacing w:before="0"/>
        <w:jc w:val="left"/>
        <w:rPr>
          <w:rFonts w:asciiTheme="minorHAnsi" w:hAnsiTheme="minorHAnsi"/>
          <w:color w:val="FF0000"/>
          <w:sz w:val="20"/>
        </w:rPr>
      </w:pPr>
    </w:p>
    <w:p w:rsidR="00A67F0E" w:rsidRPr="00183215" w:rsidRDefault="006B4C2D" w:rsidP="00D15641">
      <w:pPr>
        <w:spacing w:before="0"/>
        <w:rPr>
          <w:rFonts w:asciiTheme="minorHAnsi" w:hAnsiTheme="minorHAnsi"/>
          <w:sz w:val="20"/>
        </w:rPr>
      </w:pPr>
      <w:r w:rsidRPr="006B4C2D">
        <w:rPr>
          <w:rFonts w:asciiTheme="minorHAnsi" w:hAnsiTheme="minorHAnsi"/>
          <w:sz w:val="20"/>
        </w:rPr>
        <w:t>En 2018</w:t>
      </w:r>
      <w:r w:rsidR="00A67F0E" w:rsidRPr="006B4C2D">
        <w:rPr>
          <w:rFonts w:asciiTheme="minorHAnsi" w:hAnsiTheme="minorHAnsi"/>
          <w:sz w:val="20"/>
        </w:rPr>
        <w:t xml:space="preserve">, l’établissement xxx réalise </w:t>
      </w:r>
      <w:r w:rsidRPr="006B4C2D">
        <w:rPr>
          <w:rFonts w:asciiTheme="minorHAnsi" w:hAnsiTheme="minorHAnsi"/>
          <w:sz w:val="20"/>
        </w:rPr>
        <w:t xml:space="preserve">4 064 </w:t>
      </w:r>
      <w:r w:rsidR="00FE4BE2" w:rsidRPr="006B4C2D">
        <w:rPr>
          <w:rFonts w:asciiTheme="minorHAnsi" w:hAnsiTheme="minorHAnsi"/>
          <w:sz w:val="20"/>
        </w:rPr>
        <w:t>actes</w:t>
      </w:r>
      <w:r w:rsidR="00A67F0E" w:rsidRPr="006B4C2D">
        <w:rPr>
          <w:rFonts w:asciiTheme="minorHAnsi" w:hAnsiTheme="minorHAnsi"/>
          <w:sz w:val="20"/>
        </w:rPr>
        <w:t xml:space="preserve">, dont </w:t>
      </w:r>
      <w:r w:rsidRPr="006B4C2D">
        <w:rPr>
          <w:rFonts w:asciiTheme="minorHAnsi" w:hAnsiTheme="minorHAnsi"/>
          <w:sz w:val="20"/>
        </w:rPr>
        <w:t xml:space="preserve">782 </w:t>
      </w:r>
      <w:r w:rsidR="00A67F0E" w:rsidRPr="006B4C2D">
        <w:rPr>
          <w:rFonts w:asciiTheme="minorHAnsi" w:hAnsiTheme="minorHAnsi"/>
          <w:sz w:val="20"/>
        </w:rPr>
        <w:t xml:space="preserve">séjours évitables. Les indicateurs 1 à 4 sont respectivement de </w:t>
      </w:r>
      <w:r w:rsidRPr="006B4C2D">
        <w:rPr>
          <w:rFonts w:asciiTheme="minorHAnsi" w:hAnsiTheme="minorHAnsi"/>
          <w:sz w:val="20"/>
        </w:rPr>
        <w:t>16</w:t>
      </w:r>
      <w:r w:rsidR="00A67F0E" w:rsidRPr="006B4C2D">
        <w:rPr>
          <w:rFonts w:asciiTheme="minorHAnsi" w:hAnsiTheme="minorHAnsi"/>
          <w:sz w:val="20"/>
        </w:rPr>
        <w:t>.</w:t>
      </w:r>
      <w:r w:rsidRPr="006B4C2D">
        <w:rPr>
          <w:rFonts w:asciiTheme="minorHAnsi" w:hAnsiTheme="minorHAnsi"/>
          <w:sz w:val="20"/>
        </w:rPr>
        <w:t>7</w:t>
      </w:r>
      <w:r w:rsidR="00A67F0E" w:rsidRPr="006B4C2D">
        <w:rPr>
          <w:rFonts w:asciiTheme="minorHAnsi" w:hAnsiTheme="minorHAnsi"/>
          <w:sz w:val="20"/>
        </w:rPr>
        <w:t xml:space="preserve">%, </w:t>
      </w:r>
      <w:r w:rsidRPr="006B4C2D">
        <w:rPr>
          <w:rFonts w:asciiTheme="minorHAnsi" w:hAnsiTheme="minorHAnsi"/>
          <w:sz w:val="20"/>
        </w:rPr>
        <w:t>17</w:t>
      </w:r>
      <w:r w:rsidR="00A67F0E" w:rsidRPr="006B4C2D">
        <w:rPr>
          <w:rFonts w:asciiTheme="minorHAnsi" w:hAnsiTheme="minorHAnsi"/>
          <w:sz w:val="20"/>
        </w:rPr>
        <w:t xml:space="preserve">.5%, </w:t>
      </w:r>
      <w:r w:rsidRPr="006B4C2D">
        <w:rPr>
          <w:rFonts w:asciiTheme="minorHAnsi" w:hAnsiTheme="minorHAnsi"/>
          <w:sz w:val="20"/>
        </w:rPr>
        <w:t>52</w:t>
      </w:r>
      <w:r w:rsidR="00A67F0E" w:rsidRPr="006B4C2D">
        <w:rPr>
          <w:rFonts w:asciiTheme="minorHAnsi" w:hAnsiTheme="minorHAnsi"/>
          <w:sz w:val="20"/>
        </w:rPr>
        <w:t>,</w:t>
      </w:r>
      <w:r w:rsidRPr="006B4C2D">
        <w:rPr>
          <w:rFonts w:asciiTheme="minorHAnsi" w:hAnsiTheme="minorHAnsi"/>
          <w:sz w:val="20"/>
        </w:rPr>
        <w:t>9</w:t>
      </w:r>
      <w:r w:rsidR="00A67F0E" w:rsidRPr="006B4C2D">
        <w:rPr>
          <w:rFonts w:asciiTheme="minorHAnsi" w:hAnsiTheme="minorHAnsi"/>
          <w:sz w:val="20"/>
        </w:rPr>
        <w:t>% et 1</w:t>
      </w:r>
      <w:r w:rsidRPr="006B4C2D">
        <w:rPr>
          <w:rFonts w:asciiTheme="minorHAnsi" w:hAnsiTheme="minorHAnsi"/>
          <w:sz w:val="20"/>
        </w:rPr>
        <w:t>3</w:t>
      </w:r>
      <w:r w:rsidR="00A67F0E" w:rsidRPr="006B4C2D">
        <w:rPr>
          <w:rFonts w:asciiTheme="minorHAnsi" w:hAnsiTheme="minorHAnsi"/>
          <w:sz w:val="20"/>
        </w:rPr>
        <w:t>.</w:t>
      </w:r>
      <w:r w:rsidRPr="006B4C2D">
        <w:rPr>
          <w:rFonts w:asciiTheme="minorHAnsi" w:hAnsiTheme="minorHAnsi"/>
          <w:sz w:val="20"/>
        </w:rPr>
        <w:t>5</w:t>
      </w:r>
      <w:r w:rsidR="00A67F0E" w:rsidRPr="006B4C2D">
        <w:rPr>
          <w:rFonts w:asciiTheme="minorHAnsi" w:hAnsiTheme="minorHAnsi"/>
          <w:sz w:val="20"/>
        </w:rPr>
        <w:t>%</w:t>
      </w:r>
      <w:r w:rsidR="00F140B7" w:rsidRPr="006B4C2D">
        <w:rPr>
          <w:rFonts w:asciiTheme="minorHAnsi" w:hAnsiTheme="minorHAnsi"/>
          <w:sz w:val="20"/>
        </w:rPr>
        <w:t xml:space="preserve"> (partie 3.4)</w:t>
      </w:r>
      <w:r w:rsidR="00A67F0E" w:rsidRPr="006B4C2D">
        <w:rPr>
          <w:rFonts w:asciiTheme="minorHAnsi" w:hAnsiTheme="minorHAnsi"/>
          <w:sz w:val="20"/>
        </w:rPr>
        <w:t>. Pour 201</w:t>
      </w:r>
      <w:r w:rsidRPr="006B4C2D">
        <w:rPr>
          <w:rFonts w:asciiTheme="minorHAnsi" w:hAnsiTheme="minorHAnsi"/>
          <w:sz w:val="20"/>
        </w:rPr>
        <w:t>7</w:t>
      </w:r>
      <w:r w:rsidR="00A67F0E" w:rsidRPr="006B4C2D">
        <w:rPr>
          <w:rFonts w:asciiTheme="minorHAnsi" w:hAnsiTheme="minorHAnsi"/>
          <w:sz w:val="20"/>
        </w:rPr>
        <w:t xml:space="preserve"> (année de référence), ces indicateurs étaient respectivement de : </w:t>
      </w:r>
      <w:r w:rsidRPr="006B4C2D">
        <w:rPr>
          <w:rFonts w:asciiTheme="minorHAnsi" w:hAnsiTheme="minorHAnsi"/>
          <w:sz w:val="20"/>
        </w:rPr>
        <w:t>70</w:t>
      </w:r>
      <w:r w:rsidR="00A67F0E" w:rsidRPr="006B4C2D">
        <w:rPr>
          <w:rFonts w:asciiTheme="minorHAnsi" w:hAnsiTheme="minorHAnsi"/>
          <w:sz w:val="20"/>
        </w:rPr>
        <w:t>.</w:t>
      </w:r>
      <w:r w:rsidRPr="006B4C2D">
        <w:rPr>
          <w:rFonts w:asciiTheme="minorHAnsi" w:hAnsiTheme="minorHAnsi"/>
          <w:sz w:val="20"/>
        </w:rPr>
        <w:t>3</w:t>
      </w:r>
      <w:r w:rsidR="00A67F0E" w:rsidRPr="006B4C2D">
        <w:rPr>
          <w:rFonts w:asciiTheme="minorHAnsi" w:hAnsiTheme="minorHAnsi"/>
          <w:sz w:val="20"/>
        </w:rPr>
        <w:t xml:space="preserve">%, </w:t>
      </w:r>
      <w:r w:rsidRPr="006B4C2D">
        <w:rPr>
          <w:rFonts w:asciiTheme="minorHAnsi" w:hAnsiTheme="minorHAnsi"/>
          <w:sz w:val="20"/>
        </w:rPr>
        <w:t>38</w:t>
      </w:r>
      <w:r w:rsidR="00A67F0E" w:rsidRPr="006B4C2D">
        <w:rPr>
          <w:rFonts w:asciiTheme="minorHAnsi" w:hAnsiTheme="minorHAnsi"/>
          <w:sz w:val="20"/>
        </w:rPr>
        <w:t>.</w:t>
      </w:r>
      <w:r w:rsidRPr="006B4C2D">
        <w:rPr>
          <w:rFonts w:asciiTheme="minorHAnsi" w:hAnsiTheme="minorHAnsi"/>
          <w:sz w:val="20"/>
        </w:rPr>
        <w:t>0</w:t>
      </w:r>
      <w:r w:rsidR="00A67F0E" w:rsidRPr="006B4C2D">
        <w:rPr>
          <w:rFonts w:asciiTheme="minorHAnsi" w:hAnsiTheme="minorHAnsi"/>
          <w:sz w:val="20"/>
        </w:rPr>
        <w:t xml:space="preserve">%, </w:t>
      </w:r>
      <w:r w:rsidRPr="006B4C2D">
        <w:rPr>
          <w:rFonts w:asciiTheme="minorHAnsi" w:hAnsiTheme="minorHAnsi"/>
          <w:sz w:val="20"/>
        </w:rPr>
        <w:t>57.9</w:t>
      </w:r>
      <w:r w:rsidR="00A67F0E" w:rsidRPr="006B4C2D">
        <w:rPr>
          <w:rFonts w:asciiTheme="minorHAnsi" w:hAnsiTheme="minorHAnsi"/>
          <w:sz w:val="20"/>
        </w:rPr>
        <w:t>% et</w:t>
      </w:r>
      <w:r w:rsidRPr="006B4C2D">
        <w:rPr>
          <w:rFonts w:asciiTheme="minorHAnsi" w:hAnsiTheme="minorHAnsi"/>
          <w:sz w:val="20"/>
        </w:rPr>
        <w:t xml:space="preserve"> 13.5</w:t>
      </w:r>
      <w:r w:rsidR="00A67F0E" w:rsidRPr="006B4C2D">
        <w:rPr>
          <w:rFonts w:asciiTheme="minorHAnsi" w:hAnsiTheme="minorHAnsi"/>
          <w:sz w:val="20"/>
        </w:rPr>
        <w:t xml:space="preserve">%. L’établissement a donc progressé sur les indicateurs 1 à 3, </w:t>
      </w:r>
      <w:r w:rsidR="00A67F0E" w:rsidRPr="00183215">
        <w:rPr>
          <w:rFonts w:asciiTheme="minorHAnsi" w:hAnsiTheme="minorHAnsi"/>
          <w:sz w:val="20"/>
        </w:rPr>
        <w:t>générant ainsi :</w:t>
      </w:r>
    </w:p>
    <w:p w:rsidR="00A67F0E" w:rsidRPr="00183215" w:rsidRDefault="00A67F0E" w:rsidP="00D15641">
      <w:pPr>
        <w:pStyle w:val="Paragraphedeliste"/>
        <w:numPr>
          <w:ilvl w:val="0"/>
          <w:numId w:val="9"/>
        </w:numPr>
        <w:spacing w:before="0"/>
        <w:jc w:val="both"/>
        <w:rPr>
          <w:rFonts w:asciiTheme="minorHAnsi" w:hAnsiTheme="minorHAnsi"/>
          <w:sz w:val="20"/>
          <w:u w:val="none"/>
          <w:lang w:val="fr-FR"/>
        </w:rPr>
      </w:pPr>
      <w:r w:rsidRPr="00183215">
        <w:rPr>
          <w:rFonts w:asciiTheme="minorHAnsi" w:hAnsiTheme="minorHAnsi"/>
          <w:sz w:val="20"/>
          <w:u w:val="none"/>
          <w:lang w:val="fr-FR"/>
        </w:rPr>
        <w:t>Pour l’indicateur 1 : (</w:t>
      </w:r>
      <w:r w:rsidR="006B4C2D" w:rsidRPr="00183215">
        <w:rPr>
          <w:rFonts w:asciiTheme="minorHAnsi" w:hAnsiTheme="minorHAnsi"/>
          <w:sz w:val="20"/>
          <w:u w:val="none"/>
          <w:lang w:val="fr-FR"/>
        </w:rPr>
        <w:t>70.3</w:t>
      </w:r>
      <w:r w:rsidRPr="00183215">
        <w:rPr>
          <w:rFonts w:asciiTheme="minorHAnsi" w:hAnsiTheme="minorHAnsi"/>
          <w:sz w:val="20"/>
          <w:u w:val="none"/>
          <w:lang w:val="fr-FR"/>
        </w:rPr>
        <w:t>%</w:t>
      </w:r>
      <w:r w:rsidR="00F140B7" w:rsidRPr="00183215">
        <w:rPr>
          <w:rFonts w:asciiTheme="minorHAnsi" w:hAnsiTheme="minorHAnsi"/>
          <w:sz w:val="20"/>
          <w:u w:val="none"/>
          <w:lang w:val="fr-FR"/>
        </w:rPr>
        <w:t xml:space="preserve"> </w:t>
      </w:r>
      <w:r w:rsidRPr="00183215">
        <w:rPr>
          <w:rFonts w:asciiTheme="minorHAnsi" w:hAnsiTheme="minorHAnsi"/>
          <w:sz w:val="20"/>
          <w:u w:val="none"/>
          <w:lang w:val="fr-FR"/>
        </w:rPr>
        <w:t>-</w:t>
      </w:r>
      <w:r w:rsidR="00F140B7" w:rsidRPr="00183215">
        <w:rPr>
          <w:rFonts w:asciiTheme="minorHAnsi" w:hAnsiTheme="minorHAnsi"/>
          <w:sz w:val="20"/>
          <w:u w:val="none"/>
          <w:lang w:val="fr-FR"/>
        </w:rPr>
        <w:t xml:space="preserve"> </w:t>
      </w:r>
      <w:r w:rsidR="006B4C2D" w:rsidRPr="00183215">
        <w:rPr>
          <w:rFonts w:asciiTheme="minorHAnsi" w:hAnsiTheme="minorHAnsi"/>
          <w:sz w:val="20"/>
          <w:u w:val="none"/>
          <w:lang w:val="fr-FR"/>
        </w:rPr>
        <w:t>16</w:t>
      </w:r>
      <w:r w:rsidRPr="00183215">
        <w:rPr>
          <w:rFonts w:asciiTheme="minorHAnsi" w:hAnsiTheme="minorHAnsi"/>
          <w:sz w:val="20"/>
          <w:u w:val="none"/>
          <w:lang w:val="fr-FR"/>
        </w:rPr>
        <w:t>.</w:t>
      </w:r>
      <w:r w:rsidR="006B4C2D" w:rsidRPr="00183215">
        <w:rPr>
          <w:rFonts w:asciiTheme="minorHAnsi" w:hAnsiTheme="minorHAnsi"/>
          <w:sz w:val="20"/>
          <w:u w:val="none"/>
          <w:lang w:val="fr-FR"/>
        </w:rPr>
        <w:t>7</w:t>
      </w:r>
      <w:r w:rsidRPr="00183215">
        <w:rPr>
          <w:rFonts w:asciiTheme="minorHAnsi" w:hAnsiTheme="minorHAnsi"/>
          <w:sz w:val="20"/>
          <w:u w:val="none"/>
          <w:lang w:val="fr-FR"/>
        </w:rPr>
        <w:t>%</w:t>
      </w:r>
      <w:r w:rsidR="00F140B7" w:rsidRPr="00183215">
        <w:rPr>
          <w:rFonts w:asciiTheme="minorHAnsi" w:hAnsiTheme="minorHAnsi"/>
          <w:sz w:val="20"/>
          <w:u w:val="none"/>
          <w:lang w:val="fr-FR"/>
        </w:rPr>
        <w:t>)</w:t>
      </w:r>
      <w:r w:rsidR="00183215">
        <w:rPr>
          <w:rFonts w:asciiTheme="minorHAnsi" w:hAnsiTheme="minorHAnsi"/>
          <w:sz w:val="20"/>
          <w:u w:val="none"/>
          <w:lang w:val="fr-FR"/>
        </w:rPr>
        <w:t xml:space="preserve"> </w:t>
      </w:r>
      <w:r w:rsidR="00F140B7" w:rsidRPr="00183215">
        <w:rPr>
          <w:rFonts w:asciiTheme="minorHAnsi" w:hAnsiTheme="minorHAnsi"/>
          <w:sz w:val="20"/>
          <w:u w:val="none"/>
          <w:lang w:val="fr-FR"/>
        </w:rPr>
        <w:t>*</w:t>
      </w:r>
      <w:r w:rsidR="00183215" w:rsidRPr="00183215">
        <w:rPr>
          <w:rFonts w:asciiTheme="minorHAnsi" w:hAnsiTheme="minorHAnsi"/>
          <w:sz w:val="20"/>
          <w:u w:val="none"/>
          <w:lang w:val="fr-FR"/>
        </w:rPr>
        <w:t xml:space="preserve"> 108</w:t>
      </w:r>
      <w:r w:rsidR="00F140B7" w:rsidRPr="00183215">
        <w:rPr>
          <w:rFonts w:asciiTheme="minorHAnsi" w:hAnsiTheme="minorHAnsi"/>
          <w:sz w:val="20"/>
          <w:u w:val="none"/>
          <w:lang w:val="fr-FR"/>
        </w:rPr>
        <w:t xml:space="preserve"> = </w:t>
      </w:r>
      <w:r w:rsidR="00183215" w:rsidRPr="00183215">
        <w:rPr>
          <w:rFonts w:asciiTheme="minorHAnsi" w:hAnsiTheme="minorHAnsi"/>
          <w:sz w:val="20"/>
          <w:u w:val="none"/>
          <w:lang w:val="fr-FR"/>
        </w:rPr>
        <w:t>57</w:t>
      </w:r>
      <w:r w:rsidR="00F140B7" w:rsidRPr="00183215">
        <w:rPr>
          <w:rFonts w:asciiTheme="minorHAnsi" w:hAnsiTheme="minorHAnsi"/>
          <w:sz w:val="20"/>
          <w:u w:val="none"/>
          <w:lang w:val="fr-FR"/>
        </w:rPr>
        <w:t xml:space="preserve"> actes économisés</w:t>
      </w:r>
    </w:p>
    <w:p w:rsidR="00F140B7" w:rsidRPr="00183215" w:rsidRDefault="00F140B7" w:rsidP="00D15641">
      <w:pPr>
        <w:pStyle w:val="Paragraphedeliste"/>
        <w:numPr>
          <w:ilvl w:val="0"/>
          <w:numId w:val="9"/>
        </w:numPr>
        <w:spacing w:before="0"/>
        <w:jc w:val="both"/>
        <w:rPr>
          <w:rFonts w:asciiTheme="minorHAnsi" w:hAnsiTheme="minorHAnsi"/>
          <w:sz w:val="20"/>
          <w:u w:val="none"/>
          <w:lang w:val="fr-FR"/>
        </w:rPr>
      </w:pPr>
      <w:r w:rsidRPr="00183215">
        <w:rPr>
          <w:rFonts w:asciiTheme="minorHAnsi" w:hAnsiTheme="minorHAnsi"/>
          <w:sz w:val="20"/>
          <w:u w:val="none"/>
          <w:lang w:val="fr-FR"/>
        </w:rPr>
        <w:t>Pour l’indicateur 2 : (</w:t>
      </w:r>
      <w:r w:rsidR="00183215" w:rsidRPr="00183215">
        <w:rPr>
          <w:rFonts w:asciiTheme="minorHAnsi" w:hAnsiTheme="minorHAnsi"/>
          <w:sz w:val="20"/>
          <w:u w:val="none"/>
          <w:lang w:val="fr-FR"/>
        </w:rPr>
        <w:t>38.0</w:t>
      </w:r>
      <w:r w:rsidRPr="00183215">
        <w:rPr>
          <w:rFonts w:asciiTheme="minorHAnsi" w:hAnsiTheme="minorHAnsi"/>
          <w:sz w:val="20"/>
          <w:u w:val="none"/>
          <w:lang w:val="fr-FR"/>
        </w:rPr>
        <w:t xml:space="preserve">% - </w:t>
      </w:r>
      <w:r w:rsidR="00183215" w:rsidRPr="00183215">
        <w:rPr>
          <w:rFonts w:asciiTheme="minorHAnsi" w:hAnsiTheme="minorHAnsi"/>
          <w:sz w:val="20"/>
          <w:u w:val="none"/>
          <w:lang w:val="fr-FR"/>
        </w:rPr>
        <w:t>17</w:t>
      </w:r>
      <w:r w:rsidRPr="00183215">
        <w:rPr>
          <w:rFonts w:asciiTheme="minorHAnsi" w:hAnsiTheme="minorHAnsi"/>
          <w:sz w:val="20"/>
          <w:u w:val="none"/>
          <w:lang w:val="fr-FR"/>
        </w:rPr>
        <w:t>.5%)</w:t>
      </w:r>
      <w:r w:rsidR="00183215">
        <w:rPr>
          <w:rFonts w:asciiTheme="minorHAnsi" w:hAnsiTheme="minorHAnsi"/>
          <w:sz w:val="20"/>
          <w:u w:val="none"/>
          <w:lang w:val="fr-FR"/>
        </w:rPr>
        <w:t xml:space="preserve"> </w:t>
      </w:r>
      <w:r w:rsidRPr="00183215">
        <w:rPr>
          <w:rFonts w:asciiTheme="minorHAnsi" w:hAnsiTheme="minorHAnsi"/>
          <w:sz w:val="20"/>
          <w:u w:val="none"/>
          <w:lang w:val="fr-FR"/>
        </w:rPr>
        <w:t xml:space="preserve">* </w:t>
      </w:r>
      <w:r w:rsidR="00183215" w:rsidRPr="00183215">
        <w:rPr>
          <w:rFonts w:asciiTheme="minorHAnsi" w:hAnsiTheme="minorHAnsi"/>
          <w:sz w:val="20"/>
          <w:u w:val="none"/>
          <w:lang w:val="fr-FR"/>
        </w:rPr>
        <w:t>3 506</w:t>
      </w:r>
      <w:r w:rsidRPr="00183215">
        <w:rPr>
          <w:rFonts w:asciiTheme="minorHAnsi" w:hAnsiTheme="minorHAnsi"/>
          <w:sz w:val="20"/>
          <w:u w:val="none"/>
          <w:lang w:val="fr-FR"/>
        </w:rPr>
        <w:t xml:space="preserve">= </w:t>
      </w:r>
      <w:r w:rsidR="00183215" w:rsidRPr="00183215">
        <w:rPr>
          <w:rFonts w:asciiTheme="minorHAnsi" w:hAnsiTheme="minorHAnsi"/>
          <w:sz w:val="20"/>
          <w:u w:val="none"/>
          <w:lang w:val="fr-FR"/>
        </w:rPr>
        <w:t xml:space="preserve">736 </w:t>
      </w:r>
      <w:r w:rsidRPr="00183215">
        <w:rPr>
          <w:rFonts w:asciiTheme="minorHAnsi" w:hAnsiTheme="minorHAnsi"/>
          <w:sz w:val="20"/>
          <w:u w:val="none"/>
          <w:lang w:val="fr-FR"/>
        </w:rPr>
        <w:t>actes économisés</w:t>
      </w:r>
    </w:p>
    <w:p w:rsidR="00F140B7" w:rsidRPr="00183215" w:rsidRDefault="00F140B7" w:rsidP="00D15641">
      <w:pPr>
        <w:pStyle w:val="Paragraphedeliste"/>
        <w:numPr>
          <w:ilvl w:val="0"/>
          <w:numId w:val="9"/>
        </w:numPr>
        <w:spacing w:before="0"/>
        <w:jc w:val="both"/>
        <w:rPr>
          <w:rFonts w:asciiTheme="minorHAnsi" w:hAnsiTheme="minorHAnsi"/>
          <w:sz w:val="20"/>
          <w:u w:val="none"/>
          <w:lang w:val="fr-FR"/>
        </w:rPr>
      </w:pPr>
      <w:r w:rsidRPr="00183215">
        <w:rPr>
          <w:rFonts w:asciiTheme="minorHAnsi" w:hAnsiTheme="minorHAnsi"/>
          <w:sz w:val="20"/>
          <w:u w:val="none"/>
          <w:lang w:val="fr-FR"/>
        </w:rPr>
        <w:t>Pour l’indicateur 3 : (</w:t>
      </w:r>
      <w:r w:rsidR="00183215" w:rsidRPr="00183215">
        <w:rPr>
          <w:rFonts w:asciiTheme="minorHAnsi" w:hAnsiTheme="minorHAnsi"/>
          <w:sz w:val="20"/>
          <w:u w:val="none"/>
          <w:lang w:val="fr-FR"/>
        </w:rPr>
        <w:t>57.9</w:t>
      </w:r>
      <w:r w:rsidRPr="00183215">
        <w:rPr>
          <w:rFonts w:asciiTheme="minorHAnsi" w:hAnsiTheme="minorHAnsi"/>
          <w:sz w:val="20"/>
          <w:u w:val="none"/>
          <w:lang w:val="fr-FR"/>
        </w:rPr>
        <w:t xml:space="preserve">% - </w:t>
      </w:r>
      <w:r w:rsidR="00183215" w:rsidRPr="00183215">
        <w:rPr>
          <w:rFonts w:asciiTheme="minorHAnsi" w:hAnsiTheme="minorHAnsi"/>
          <w:sz w:val="20"/>
          <w:u w:val="none"/>
          <w:lang w:val="fr-FR"/>
        </w:rPr>
        <w:t>52</w:t>
      </w:r>
      <w:r w:rsidRPr="00183215">
        <w:rPr>
          <w:rFonts w:asciiTheme="minorHAnsi" w:hAnsiTheme="minorHAnsi"/>
          <w:sz w:val="20"/>
          <w:u w:val="none"/>
          <w:lang w:val="fr-FR"/>
        </w:rPr>
        <w:t>.</w:t>
      </w:r>
      <w:r w:rsidR="00183215" w:rsidRPr="00183215">
        <w:rPr>
          <w:rFonts w:asciiTheme="minorHAnsi" w:hAnsiTheme="minorHAnsi"/>
          <w:sz w:val="20"/>
          <w:u w:val="none"/>
          <w:lang w:val="fr-FR"/>
        </w:rPr>
        <w:t>9</w:t>
      </w:r>
      <w:r w:rsidRPr="00183215">
        <w:rPr>
          <w:rFonts w:asciiTheme="minorHAnsi" w:hAnsiTheme="minorHAnsi"/>
          <w:sz w:val="20"/>
          <w:u w:val="none"/>
          <w:lang w:val="fr-FR"/>
        </w:rPr>
        <w:t>%)</w:t>
      </w:r>
      <w:r w:rsidR="00183215">
        <w:rPr>
          <w:rFonts w:asciiTheme="minorHAnsi" w:hAnsiTheme="minorHAnsi"/>
          <w:sz w:val="20"/>
          <w:u w:val="none"/>
          <w:lang w:val="fr-FR"/>
        </w:rPr>
        <w:t xml:space="preserve"> </w:t>
      </w:r>
      <w:r w:rsidRPr="00183215">
        <w:rPr>
          <w:rFonts w:asciiTheme="minorHAnsi" w:hAnsiTheme="minorHAnsi"/>
          <w:sz w:val="20"/>
          <w:u w:val="none"/>
          <w:lang w:val="fr-FR"/>
        </w:rPr>
        <w:t xml:space="preserve">* </w:t>
      </w:r>
      <w:r w:rsidR="00183215" w:rsidRPr="00183215">
        <w:rPr>
          <w:rFonts w:asciiTheme="minorHAnsi" w:hAnsiTheme="minorHAnsi"/>
          <w:sz w:val="20"/>
          <w:u w:val="none"/>
          <w:lang w:val="fr-FR"/>
        </w:rPr>
        <w:t xml:space="preserve">272 </w:t>
      </w:r>
      <w:r w:rsidRPr="00183215">
        <w:rPr>
          <w:rFonts w:asciiTheme="minorHAnsi" w:hAnsiTheme="minorHAnsi"/>
          <w:sz w:val="20"/>
          <w:u w:val="none"/>
          <w:lang w:val="fr-FR"/>
        </w:rPr>
        <w:t xml:space="preserve">=  </w:t>
      </w:r>
      <w:r w:rsidR="00183215" w:rsidRPr="00183215">
        <w:rPr>
          <w:rFonts w:asciiTheme="minorHAnsi" w:hAnsiTheme="minorHAnsi"/>
          <w:sz w:val="20"/>
          <w:u w:val="none"/>
          <w:lang w:val="fr-FR"/>
        </w:rPr>
        <w:t xml:space="preserve">13 </w:t>
      </w:r>
      <w:r w:rsidRPr="00183215">
        <w:rPr>
          <w:rFonts w:asciiTheme="minorHAnsi" w:hAnsiTheme="minorHAnsi"/>
          <w:sz w:val="20"/>
          <w:u w:val="none"/>
          <w:lang w:val="fr-FR"/>
        </w:rPr>
        <w:t>actes économisés</w:t>
      </w:r>
    </w:p>
    <w:p w:rsidR="00F140B7" w:rsidRPr="00183215" w:rsidRDefault="00F140B7" w:rsidP="00D15641">
      <w:pPr>
        <w:pStyle w:val="Paragraphedeliste"/>
        <w:numPr>
          <w:ilvl w:val="0"/>
          <w:numId w:val="9"/>
        </w:numPr>
        <w:spacing w:before="0"/>
        <w:jc w:val="both"/>
        <w:rPr>
          <w:rFonts w:asciiTheme="minorHAnsi" w:hAnsiTheme="minorHAnsi"/>
          <w:sz w:val="20"/>
          <w:u w:val="none"/>
          <w:lang w:val="fr-FR"/>
        </w:rPr>
      </w:pPr>
      <w:r w:rsidRPr="00183215">
        <w:rPr>
          <w:rFonts w:asciiTheme="minorHAnsi" w:hAnsiTheme="minorHAnsi"/>
          <w:sz w:val="20"/>
          <w:u w:val="none"/>
          <w:lang w:val="fr-FR"/>
        </w:rPr>
        <w:lastRenderedPageBreak/>
        <w:t>Pour l’indicateur 4 : aucun acte économisé.</w:t>
      </w:r>
    </w:p>
    <w:p w:rsidR="003D0D5C" w:rsidRPr="008454BD" w:rsidRDefault="003D0D5C" w:rsidP="00D15641">
      <w:pPr>
        <w:spacing w:before="0"/>
        <w:rPr>
          <w:rFonts w:asciiTheme="minorHAnsi" w:hAnsiTheme="minorHAnsi"/>
          <w:color w:val="FF0000"/>
          <w:sz w:val="20"/>
        </w:rPr>
      </w:pPr>
      <w:r w:rsidRPr="008454BD">
        <w:rPr>
          <w:rFonts w:asciiTheme="minorHAnsi" w:hAnsiTheme="minorHAnsi"/>
          <w:color w:val="FF0000"/>
          <w:sz w:val="20"/>
        </w:rPr>
        <w:t xml:space="preserve"> </w:t>
      </w:r>
    </w:p>
    <w:p w:rsidR="00F140B7" w:rsidRPr="00183215" w:rsidRDefault="00F140B7" w:rsidP="00D15641">
      <w:pPr>
        <w:spacing w:before="0"/>
        <w:rPr>
          <w:rFonts w:asciiTheme="minorHAnsi" w:hAnsiTheme="minorHAnsi"/>
          <w:sz w:val="20"/>
        </w:rPr>
      </w:pPr>
      <w:r w:rsidRPr="00183215">
        <w:rPr>
          <w:rFonts w:asciiTheme="minorHAnsi" w:hAnsiTheme="minorHAnsi"/>
          <w:sz w:val="20"/>
        </w:rPr>
        <w:t xml:space="preserve">En appliquant la valorisation des actes (partie 3.6), une prise en charge de 60% et </w:t>
      </w:r>
      <w:r w:rsidR="00183215" w:rsidRPr="00183215">
        <w:rPr>
          <w:rFonts w:asciiTheme="minorHAnsi" w:hAnsiTheme="minorHAnsi"/>
          <w:sz w:val="20"/>
        </w:rPr>
        <w:t>3</w:t>
      </w:r>
      <w:r w:rsidRPr="00183215">
        <w:rPr>
          <w:rFonts w:asciiTheme="minorHAnsi" w:hAnsiTheme="minorHAnsi"/>
          <w:sz w:val="20"/>
        </w:rPr>
        <w:t>0% d’incitation la valorisation reversée à l’établissement sera de :</w:t>
      </w:r>
    </w:p>
    <w:p w:rsidR="00F140B7" w:rsidRPr="00033B96" w:rsidRDefault="00F140B7" w:rsidP="00D15641">
      <w:pPr>
        <w:pStyle w:val="Paragraphedeliste"/>
        <w:numPr>
          <w:ilvl w:val="0"/>
          <w:numId w:val="9"/>
        </w:numPr>
        <w:spacing w:before="0"/>
        <w:jc w:val="both"/>
        <w:rPr>
          <w:rFonts w:asciiTheme="minorHAnsi" w:hAnsiTheme="minorHAnsi"/>
          <w:sz w:val="20"/>
          <w:u w:val="none"/>
          <w:lang w:val="fr-FR"/>
        </w:rPr>
      </w:pPr>
      <w:r w:rsidRPr="00033B96">
        <w:rPr>
          <w:rFonts w:asciiTheme="minorHAnsi" w:hAnsiTheme="minorHAnsi"/>
          <w:sz w:val="20"/>
          <w:u w:val="none"/>
          <w:lang w:val="fr-FR"/>
        </w:rPr>
        <w:t xml:space="preserve">Pour l’indicateur 1 : </w:t>
      </w:r>
      <w:r w:rsidR="00183215" w:rsidRPr="00033B96">
        <w:rPr>
          <w:rFonts w:asciiTheme="minorHAnsi" w:hAnsiTheme="minorHAnsi"/>
          <w:sz w:val="20"/>
          <w:u w:val="none"/>
          <w:lang w:val="fr-FR"/>
        </w:rPr>
        <w:t xml:space="preserve">57 </w:t>
      </w:r>
      <w:r w:rsidRPr="00033B96">
        <w:rPr>
          <w:rFonts w:asciiTheme="minorHAnsi" w:hAnsiTheme="minorHAnsi"/>
          <w:sz w:val="20"/>
          <w:u w:val="none"/>
          <w:lang w:val="fr-FR"/>
        </w:rPr>
        <w:t>*</w:t>
      </w:r>
      <w:r w:rsidR="00183215" w:rsidRPr="00033B96">
        <w:rPr>
          <w:rFonts w:asciiTheme="minorHAnsi" w:hAnsiTheme="minorHAnsi"/>
          <w:sz w:val="20"/>
          <w:u w:val="none"/>
          <w:lang w:val="fr-FR"/>
        </w:rPr>
        <w:t xml:space="preserve"> </w:t>
      </w:r>
      <w:r w:rsidRPr="00033B96">
        <w:rPr>
          <w:rFonts w:asciiTheme="minorHAnsi" w:hAnsiTheme="minorHAnsi"/>
          <w:sz w:val="20"/>
          <w:u w:val="none"/>
          <w:lang w:val="fr-FR"/>
        </w:rPr>
        <w:t>15.39 *60% *</w:t>
      </w:r>
      <w:r w:rsidR="00183215" w:rsidRPr="00033B96">
        <w:rPr>
          <w:rFonts w:asciiTheme="minorHAnsi" w:hAnsiTheme="minorHAnsi"/>
          <w:sz w:val="20"/>
          <w:u w:val="none"/>
          <w:lang w:val="fr-FR"/>
        </w:rPr>
        <w:t>3</w:t>
      </w:r>
      <w:r w:rsidRPr="00033B96">
        <w:rPr>
          <w:rFonts w:asciiTheme="minorHAnsi" w:hAnsiTheme="minorHAnsi"/>
          <w:sz w:val="20"/>
          <w:u w:val="none"/>
          <w:lang w:val="fr-FR"/>
        </w:rPr>
        <w:t xml:space="preserve">0% = </w:t>
      </w:r>
      <w:r w:rsidR="00183215" w:rsidRPr="00033B96">
        <w:rPr>
          <w:rFonts w:asciiTheme="minorHAnsi" w:hAnsiTheme="minorHAnsi"/>
          <w:sz w:val="20"/>
          <w:u w:val="none"/>
          <w:lang w:val="fr-FR"/>
        </w:rPr>
        <w:t>157.90</w:t>
      </w:r>
      <w:r w:rsidR="00033B96" w:rsidRPr="00033B96">
        <w:rPr>
          <w:rFonts w:asciiTheme="minorHAnsi" w:hAnsiTheme="minorHAnsi"/>
          <w:sz w:val="20"/>
          <w:u w:val="none"/>
          <w:lang w:val="fr-FR"/>
        </w:rPr>
        <w:t xml:space="preserve"> </w:t>
      </w:r>
      <w:r w:rsidRPr="00033B96">
        <w:rPr>
          <w:rFonts w:asciiTheme="minorHAnsi" w:hAnsiTheme="minorHAnsi"/>
          <w:sz w:val="20"/>
          <w:u w:val="none"/>
          <w:lang w:val="fr-FR"/>
        </w:rPr>
        <w:t>€</w:t>
      </w:r>
    </w:p>
    <w:p w:rsidR="00F140B7" w:rsidRPr="00033B96" w:rsidRDefault="00183215" w:rsidP="00D15641">
      <w:pPr>
        <w:pStyle w:val="Paragraphedeliste"/>
        <w:numPr>
          <w:ilvl w:val="0"/>
          <w:numId w:val="9"/>
        </w:numPr>
        <w:spacing w:before="0"/>
        <w:jc w:val="both"/>
        <w:rPr>
          <w:rFonts w:asciiTheme="minorHAnsi" w:hAnsiTheme="minorHAnsi"/>
          <w:sz w:val="20"/>
          <w:u w:val="none"/>
          <w:lang w:val="fr-FR"/>
        </w:rPr>
      </w:pPr>
      <w:r w:rsidRPr="00033B96">
        <w:rPr>
          <w:rFonts w:asciiTheme="minorHAnsi" w:hAnsiTheme="minorHAnsi"/>
          <w:sz w:val="20"/>
          <w:u w:val="none"/>
          <w:lang w:val="fr-FR"/>
        </w:rPr>
        <w:t xml:space="preserve">Pour l’indicateur 2 : 736 </w:t>
      </w:r>
      <w:r w:rsidR="00F140B7" w:rsidRPr="00033B96">
        <w:rPr>
          <w:rFonts w:asciiTheme="minorHAnsi" w:hAnsiTheme="minorHAnsi"/>
          <w:sz w:val="20"/>
          <w:u w:val="none"/>
          <w:lang w:val="fr-FR"/>
        </w:rPr>
        <w:t>*</w:t>
      </w:r>
      <w:r w:rsidRPr="00033B96">
        <w:rPr>
          <w:rFonts w:asciiTheme="minorHAnsi" w:hAnsiTheme="minorHAnsi"/>
          <w:sz w:val="20"/>
          <w:u w:val="none"/>
          <w:lang w:val="fr-FR"/>
        </w:rPr>
        <w:t xml:space="preserve"> </w:t>
      </w:r>
      <w:r w:rsidR="00F140B7" w:rsidRPr="00033B96">
        <w:rPr>
          <w:rFonts w:asciiTheme="minorHAnsi" w:hAnsiTheme="minorHAnsi"/>
          <w:sz w:val="20"/>
          <w:u w:val="none"/>
          <w:lang w:val="fr-FR"/>
        </w:rPr>
        <w:t>8.64 *60% *</w:t>
      </w:r>
      <w:r w:rsidRPr="00033B96">
        <w:rPr>
          <w:rFonts w:asciiTheme="minorHAnsi" w:hAnsiTheme="minorHAnsi"/>
          <w:sz w:val="20"/>
          <w:u w:val="none"/>
          <w:lang w:val="fr-FR"/>
        </w:rPr>
        <w:t>3</w:t>
      </w:r>
      <w:r w:rsidR="00F140B7" w:rsidRPr="00033B96">
        <w:rPr>
          <w:rFonts w:asciiTheme="minorHAnsi" w:hAnsiTheme="minorHAnsi"/>
          <w:sz w:val="20"/>
          <w:u w:val="none"/>
          <w:lang w:val="fr-FR"/>
        </w:rPr>
        <w:t xml:space="preserve">0% = </w:t>
      </w:r>
      <w:r w:rsidR="00033B96" w:rsidRPr="00033B96">
        <w:rPr>
          <w:rFonts w:asciiTheme="minorHAnsi" w:hAnsiTheme="minorHAnsi"/>
          <w:sz w:val="20"/>
          <w:u w:val="none"/>
          <w:lang w:val="fr-FR"/>
        </w:rPr>
        <w:t xml:space="preserve">1 144.63 </w:t>
      </w:r>
      <w:r w:rsidR="00F140B7" w:rsidRPr="00033B96">
        <w:rPr>
          <w:rFonts w:asciiTheme="minorHAnsi" w:hAnsiTheme="minorHAnsi"/>
          <w:sz w:val="20"/>
          <w:u w:val="none"/>
          <w:lang w:val="fr-FR"/>
        </w:rPr>
        <w:t>€</w:t>
      </w:r>
    </w:p>
    <w:p w:rsidR="00F140B7" w:rsidRPr="00033B96" w:rsidRDefault="00F140B7" w:rsidP="00D15641">
      <w:pPr>
        <w:pStyle w:val="Paragraphedeliste"/>
        <w:numPr>
          <w:ilvl w:val="0"/>
          <w:numId w:val="9"/>
        </w:numPr>
        <w:spacing w:before="0"/>
        <w:jc w:val="both"/>
        <w:rPr>
          <w:rFonts w:asciiTheme="minorHAnsi" w:hAnsiTheme="minorHAnsi"/>
          <w:sz w:val="20"/>
          <w:u w:val="none"/>
          <w:lang w:val="fr-FR"/>
        </w:rPr>
      </w:pPr>
      <w:r w:rsidRPr="00033B96">
        <w:rPr>
          <w:rFonts w:asciiTheme="minorHAnsi" w:hAnsiTheme="minorHAnsi"/>
          <w:sz w:val="20"/>
          <w:u w:val="none"/>
          <w:lang w:val="fr-FR"/>
        </w:rPr>
        <w:t>Pour l’indicateur 3 :</w:t>
      </w:r>
      <w:r w:rsidR="00183215" w:rsidRPr="00033B96">
        <w:rPr>
          <w:rFonts w:asciiTheme="minorHAnsi" w:hAnsiTheme="minorHAnsi"/>
          <w:sz w:val="20"/>
          <w:u w:val="none"/>
          <w:lang w:val="fr-FR"/>
        </w:rPr>
        <w:t xml:space="preserve"> 13 </w:t>
      </w:r>
      <w:r w:rsidRPr="00033B96">
        <w:rPr>
          <w:rFonts w:asciiTheme="minorHAnsi" w:hAnsiTheme="minorHAnsi"/>
          <w:sz w:val="20"/>
          <w:u w:val="none"/>
          <w:lang w:val="fr-FR"/>
        </w:rPr>
        <w:t>*</w:t>
      </w:r>
      <w:r w:rsidR="00183215" w:rsidRPr="00033B96">
        <w:rPr>
          <w:rFonts w:asciiTheme="minorHAnsi" w:hAnsiTheme="minorHAnsi"/>
          <w:sz w:val="20"/>
          <w:u w:val="none"/>
          <w:lang w:val="fr-FR"/>
        </w:rPr>
        <w:t xml:space="preserve"> </w:t>
      </w:r>
      <w:r w:rsidRPr="00033B96">
        <w:rPr>
          <w:rFonts w:asciiTheme="minorHAnsi" w:hAnsiTheme="minorHAnsi"/>
          <w:sz w:val="20"/>
          <w:u w:val="none"/>
          <w:lang w:val="fr-FR"/>
        </w:rPr>
        <w:t>27.81 *60% *</w:t>
      </w:r>
      <w:r w:rsidR="00183215" w:rsidRPr="00033B96">
        <w:rPr>
          <w:rFonts w:asciiTheme="minorHAnsi" w:hAnsiTheme="minorHAnsi"/>
          <w:sz w:val="20"/>
          <w:u w:val="none"/>
          <w:lang w:val="fr-FR"/>
        </w:rPr>
        <w:t>3</w:t>
      </w:r>
      <w:r w:rsidRPr="00033B96">
        <w:rPr>
          <w:rFonts w:asciiTheme="minorHAnsi" w:hAnsiTheme="minorHAnsi"/>
          <w:sz w:val="20"/>
          <w:u w:val="none"/>
          <w:lang w:val="fr-FR"/>
        </w:rPr>
        <w:t xml:space="preserve">0% = </w:t>
      </w:r>
      <w:r w:rsidR="00033B96" w:rsidRPr="00033B96">
        <w:rPr>
          <w:rFonts w:asciiTheme="minorHAnsi" w:hAnsiTheme="minorHAnsi"/>
          <w:sz w:val="20"/>
          <w:u w:val="none"/>
          <w:lang w:val="fr-FR"/>
        </w:rPr>
        <w:t xml:space="preserve">65.07 </w:t>
      </w:r>
      <w:r w:rsidRPr="00033B96">
        <w:rPr>
          <w:rFonts w:asciiTheme="minorHAnsi" w:hAnsiTheme="minorHAnsi"/>
          <w:sz w:val="20"/>
          <w:u w:val="none"/>
          <w:lang w:val="fr-FR"/>
        </w:rPr>
        <w:t>€</w:t>
      </w:r>
    </w:p>
    <w:p w:rsidR="00D44E60" w:rsidRPr="00033B96" w:rsidRDefault="00D44E60" w:rsidP="00D15641">
      <w:pPr>
        <w:spacing w:before="0"/>
        <w:rPr>
          <w:rFonts w:asciiTheme="minorHAnsi" w:hAnsiTheme="minorHAnsi"/>
          <w:sz w:val="20"/>
        </w:rPr>
      </w:pPr>
    </w:p>
    <w:p w:rsidR="00F140B7" w:rsidRPr="00033B96" w:rsidRDefault="00F140B7" w:rsidP="00D15641">
      <w:pPr>
        <w:spacing w:before="0"/>
        <w:rPr>
          <w:rFonts w:asciiTheme="minorHAnsi" w:hAnsiTheme="minorHAnsi"/>
          <w:b/>
          <w:sz w:val="20"/>
        </w:rPr>
      </w:pPr>
      <w:r w:rsidRPr="00033B96">
        <w:rPr>
          <w:rFonts w:asciiTheme="minorHAnsi" w:hAnsiTheme="minorHAnsi"/>
          <w:sz w:val="20"/>
        </w:rPr>
        <w:t xml:space="preserve">Soit un reversement à l’établissement de : </w:t>
      </w:r>
      <w:r w:rsidR="00033B96" w:rsidRPr="00033B96">
        <w:rPr>
          <w:rFonts w:asciiTheme="minorHAnsi" w:hAnsiTheme="minorHAnsi"/>
          <w:sz w:val="20"/>
        </w:rPr>
        <w:t xml:space="preserve">157.90 </w:t>
      </w:r>
      <w:r w:rsidRPr="00033B96">
        <w:rPr>
          <w:rFonts w:asciiTheme="minorHAnsi" w:hAnsiTheme="minorHAnsi"/>
          <w:sz w:val="20"/>
        </w:rPr>
        <w:t>+</w:t>
      </w:r>
      <w:r w:rsidR="00033B96" w:rsidRPr="00033B96">
        <w:rPr>
          <w:rFonts w:asciiTheme="minorHAnsi" w:hAnsiTheme="minorHAnsi"/>
          <w:sz w:val="20"/>
        </w:rPr>
        <w:t xml:space="preserve"> 1 144.63 </w:t>
      </w:r>
      <w:r w:rsidRPr="00033B96">
        <w:rPr>
          <w:rFonts w:asciiTheme="minorHAnsi" w:hAnsiTheme="minorHAnsi"/>
          <w:sz w:val="20"/>
        </w:rPr>
        <w:t>+</w:t>
      </w:r>
      <w:r w:rsidR="00033B96" w:rsidRPr="00033B96">
        <w:rPr>
          <w:rFonts w:asciiTheme="minorHAnsi" w:hAnsiTheme="minorHAnsi"/>
          <w:sz w:val="20"/>
        </w:rPr>
        <w:t xml:space="preserve"> 65.07</w:t>
      </w:r>
      <w:r w:rsidRPr="00033B96">
        <w:rPr>
          <w:rFonts w:asciiTheme="minorHAnsi" w:hAnsiTheme="minorHAnsi"/>
          <w:sz w:val="20"/>
        </w:rPr>
        <w:t xml:space="preserve"> = </w:t>
      </w:r>
      <w:r w:rsidR="00033B96" w:rsidRPr="00033B96">
        <w:rPr>
          <w:rFonts w:asciiTheme="minorHAnsi" w:hAnsiTheme="minorHAnsi"/>
          <w:b/>
          <w:sz w:val="20"/>
        </w:rPr>
        <w:t>1 267.60</w:t>
      </w:r>
      <w:r w:rsidRPr="00033B96">
        <w:rPr>
          <w:rFonts w:asciiTheme="minorHAnsi" w:hAnsiTheme="minorHAnsi"/>
          <w:b/>
          <w:sz w:val="20"/>
        </w:rPr>
        <w:t xml:space="preserve"> €</w:t>
      </w:r>
    </w:p>
    <w:p w:rsidR="00D44E60" w:rsidRPr="008454BD" w:rsidRDefault="00D44E60" w:rsidP="00D15641">
      <w:pPr>
        <w:spacing w:before="0"/>
        <w:rPr>
          <w:rFonts w:asciiTheme="minorHAnsi" w:hAnsiTheme="minorHAnsi"/>
          <w:noProof/>
          <w:color w:val="FF0000"/>
          <w:lang w:eastAsia="fr-FR"/>
        </w:rPr>
      </w:pPr>
    </w:p>
    <w:p w:rsidR="00FE4BE2" w:rsidRPr="00033B96" w:rsidRDefault="00FE4BE2" w:rsidP="00D15641">
      <w:pPr>
        <w:spacing w:before="0"/>
        <w:rPr>
          <w:rFonts w:asciiTheme="minorHAnsi" w:hAnsiTheme="minorHAnsi"/>
          <w:sz w:val="20"/>
        </w:rPr>
      </w:pPr>
      <w:r w:rsidRPr="00033B96">
        <w:rPr>
          <w:rFonts w:asciiTheme="minorHAnsi" w:hAnsiTheme="minorHAnsi"/>
          <w:noProof/>
          <w:lang w:eastAsia="fr-FR"/>
        </w:rPr>
        <w:t>A noter que, pour chaque année prise en comptes, les taux de référence de chaque indicateur seront réactualisés en se basant sur l’historique le plus bas de l’indicateur. Ainsi pour 201</w:t>
      </w:r>
      <w:r w:rsidR="00033B96" w:rsidRPr="00033B96">
        <w:rPr>
          <w:rFonts w:asciiTheme="minorHAnsi" w:hAnsiTheme="minorHAnsi"/>
          <w:noProof/>
          <w:lang w:eastAsia="fr-FR"/>
        </w:rPr>
        <w:t>9</w:t>
      </w:r>
      <w:r w:rsidRPr="00033B96">
        <w:rPr>
          <w:rFonts w:asciiTheme="minorHAnsi" w:hAnsiTheme="minorHAnsi"/>
          <w:noProof/>
          <w:lang w:eastAsia="fr-FR"/>
        </w:rPr>
        <w:t xml:space="preserve">, l’indicateur 1 aura pour référence </w:t>
      </w:r>
      <w:r w:rsidR="00033B96" w:rsidRPr="00033B96">
        <w:rPr>
          <w:rFonts w:asciiTheme="minorHAnsi" w:hAnsiTheme="minorHAnsi"/>
          <w:noProof/>
          <w:lang w:eastAsia="fr-FR"/>
        </w:rPr>
        <w:t>16.7</w:t>
      </w:r>
      <w:r w:rsidRPr="00033B96">
        <w:rPr>
          <w:rFonts w:asciiTheme="minorHAnsi" w:hAnsiTheme="minorHAnsi"/>
          <w:noProof/>
          <w:lang w:eastAsia="fr-FR"/>
        </w:rPr>
        <w:t>% (taux 201</w:t>
      </w:r>
      <w:r w:rsidR="00033B96" w:rsidRPr="00033B96">
        <w:rPr>
          <w:rFonts w:asciiTheme="minorHAnsi" w:hAnsiTheme="minorHAnsi"/>
          <w:noProof/>
          <w:lang w:eastAsia="fr-FR"/>
        </w:rPr>
        <w:t>8</w:t>
      </w:r>
      <w:r w:rsidRPr="00033B96">
        <w:rPr>
          <w:rFonts w:asciiTheme="minorHAnsi" w:hAnsiTheme="minorHAnsi"/>
          <w:noProof/>
          <w:lang w:eastAsia="fr-FR"/>
        </w:rPr>
        <w:t>) pour l’établissement xxx.</w:t>
      </w:r>
    </w:p>
    <w:p w:rsidR="00324514" w:rsidRPr="003D0D5C" w:rsidRDefault="00324514" w:rsidP="003D0D5C">
      <w:pPr>
        <w:rPr>
          <w:rFonts w:asciiTheme="minorHAnsi" w:hAnsiTheme="minorHAnsi"/>
          <w:color w:val="E36C0A" w:themeColor="accent6" w:themeShade="BF"/>
          <w:sz w:val="20"/>
        </w:rPr>
        <w:sectPr w:rsidR="00324514" w:rsidRPr="003D0D5C" w:rsidSect="00176A02">
          <w:headerReference w:type="even" r:id="rId8"/>
          <w:headerReference w:type="default" r:id="rId9"/>
          <w:footerReference w:type="even" r:id="rId10"/>
          <w:footerReference w:type="default" r:id="rId11"/>
          <w:headerReference w:type="first" r:id="rId12"/>
          <w:footerReference w:type="first" r:id="rId13"/>
          <w:pgSz w:w="11900" w:h="16840"/>
          <w:pgMar w:top="1134" w:right="1242" w:bottom="1134" w:left="1219" w:header="550" w:footer="720" w:gutter="0"/>
          <w:cols w:space="720"/>
          <w:titlePg/>
          <w:docGrid w:linePitch="299"/>
        </w:sectPr>
      </w:pPr>
    </w:p>
    <w:p w:rsidR="00FF5D25" w:rsidRPr="005F0E35" w:rsidRDefault="00783E41" w:rsidP="00FF5D25">
      <w:pPr>
        <w:spacing w:before="0"/>
        <w:ind w:firstLine="708"/>
        <w:jc w:val="left"/>
        <w:rPr>
          <w:rFonts w:asciiTheme="minorHAnsi" w:eastAsia="Times New Roman" w:hAnsiTheme="minorHAnsi"/>
          <w:color w:val="000000"/>
          <w:sz w:val="20"/>
          <w:szCs w:val="20"/>
          <w:lang w:eastAsia="fr-FR"/>
        </w:rPr>
      </w:pPr>
      <w:r w:rsidRPr="005F0E35">
        <w:rPr>
          <w:rFonts w:asciiTheme="minorHAnsi" w:eastAsia="Times New Roman" w:hAnsiTheme="minorHAnsi"/>
          <w:noProof/>
          <w:color w:val="000000"/>
          <w:sz w:val="20"/>
          <w:szCs w:val="20"/>
          <w:lang w:eastAsia="fr-FR"/>
        </w:rPr>
        <w:lastRenderedPageBreak/>
        <w:drawing>
          <wp:anchor distT="0" distB="0" distL="114300" distR="114300" simplePos="0" relativeHeight="251662336" behindDoc="1" locked="0" layoutInCell="1" allowOverlap="1" wp14:anchorId="3CC38C64" wp14:editId="34EDA6B4">
            <wp:simplePos x="0" y="0"/>
            <wp:positionH relativeFrom="column">
              <wp:posOffset>374015</wp:posOffset>
            </wp:positionH>
            <wp:positionV relativeFrom="paragraph">
              <wp:posOffset>320675</wp:posOffset>
            </wp:positionV>
            <wp:extent cx="8514080" cy="4623435"/>
            <wp:effectExtent l="0" t="0" r="1270" b="5715"/>
            <wp:wrapTight wrapText="bothSides">
              <wp:wrapPolygon edited="0">
                <wp:start x="0" y="0"/>
                <wp:lineTo x="0" y="21538"/>
                <wp:lineTo x="21555" y="21538"/>
                <wp:lineTo x="2155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14080" cy="4623435"/>
                    </a:xfrm>
                    <a:prstGeom prst="rect">
                      <a:avLst/>
                    </a:prstGeom>
                    <a:noFill/>
                  </pic:spPr>
                </pic:pic>
              </a:graphicData>
            </a:graphic>
            <wp14:sizeRelH relativeFrom="page">
              <wp14:pctWidth>0</wp14:pctWidth>
            </wp14:sizeRelH>
            <wp14:sizeRelV relativeFrom="page">
              <wp14:pctHeight>0</wp14:pctHeight>
            </wp14:sizeRelV>
          </wp:anchor>
        </w:drawing>
      </w:r>
      <w:r w:rsidR="00FF5D25" w:rsidRPr="005F0E35">
        <w:rPr>
          <w:rFonts w:asciiTheme="minorHAnsi" w:eastAsia="Times New Roman" w:hAnsiTheme="minorHAnsi"/>
          <w:color w:val="000000"/>
          <w:sz w:val="20"/>
          <w:szCs w:val="20"/>
          <w:lang w:eastAsia="fr-FR"/>
        </w:rPr>
        <w:t xml:space="preserve">Présentation des  indicateurs </w:t>
      </w:r>
    </w:p>
    <w:p w:rsidR="00FF5D25" w:rsidRPr="007D2C1C" w:rsidRDefault="00FF5D25" w:rsidP="00CC7A7C">
      <w:pPr>
        <w:pStyle w:val="Corpsdetexte"/>
        <w:rPr>
          <w:rFonts w:asciiTheme="minorHAnsi" w:hAnsiTheme="minorHAnsi"/>
          <w:lang w:val="fr-FR"/>
        </w:rPr>
        <w:sectPr w:rsidR="00FF5D25" w:rsidRPr="007D2C1C" w:rsidSect="00CC7A7C">
          <w:footerReference w:type="default" r:id="rId15"/>
          <w:pgSz w:w="16840" w:h="11900" w:orient="landscape"/>
          <w:pgMar w:top="1220" w:right="2500" w:bottom="1240" w:left="280" w:header="552" w:footer="720" w:gutter="0"/>
          <w:cols w:space="720"/>
          <w:docGrid w:linePitch="299"/>
        </w:sectPr>
      </w:pPr>
    </w:p>
    <w:p w:rsidR="00FF5D25" w:rsidRPr="007D2C1C" w:rsidRDefault="00FF5D25" w:rsidP="00CC7A7C">
      <w:pPr>
        <w:pStyle w:val="Corpsdetexte"/>
        <w:rPr>
          <w:rFonts w:asciiTheme="minorHAnsi" w:hAnsiTheme="minorHAnsi"/>
          <w:lang w:val="fr-FR"/>
        </w:rPr>
      </w:pPr>
    </w:p>
    <w:p w:rsidR="00FF5D25" w:rsidRPr="007D2C1C" w:rsidRDefault="00FF5D25" w:rsidP="00CC7A7C">
      <w:pPr>
        <w:pStyle w:val="Corpsdetexte"/>
        <w:rPr>
          <w:rFonts w:asciiTheme="minorHAnsi" w:hAnsiTheme="minorHAnsi"/>
          <w:lang w:val="fr-FR"/>
        </w:rPr>
      </w:pPr>
    </w:p>
    <w:p w:rsidR="00FF5D25" w:rsidRPr="007D2C1C" w:rsidRDefault="00FF5D25" w:rsidP="00CC7A7C">
      <w:pPr>
        <w:pStyle w:val="Corpsdetexte"/>
        <w:rPr>
          <w:rFonts w:asciiTheme="minorHAnsi" w:hAnsiTheme="minorHAnsi"/>
          <w:lang w:val="fr-FR"/>
        </w:rPr>
      </w:pPr>
    </w:p>
    <w:p w:rsidR="00FF5D25" w:rsidRPr="005F0E35" w:rsidRDefault="00044155" w:rsidP="00FF5D25">
      <w:pPr>
        <w:spacing w:before="0"/>
        <w:jc w:val="left"/>
        <w:rPr>
          <w:rFonts w:asciiTheme="minorHAnsi" w:eastAsia="Times New Roman" w:hAnsiTheme="minorHAnsi"/>
          <w:color w:val="000000"/>
          <w:sz w:val="20"/>
          <w:szCs w:val="20"/>
          <w:lang w:eastAsia="fr-FR"/>
        </w:rPr>
      </w:pPr>
      <w:r>
        <w:rPr>
          <w:noProof/>
          <w:lang w:eastAsia="fr-FR"/>
        </w:rPr>
        <w:drawing>
          <wp:anchor distT="0" distB="0" distL="114300" distR="114300" simplePos="0" relativeHeight="251665408" behindDoc="1" locked="0" layoutInCell="1" allowOverlap="1">
            <wp:simplePos x="0" y="0"/>
            <wp:positionH relativeFrom="column">
              <wp:posOffset>1905</wp:posOffset>
            </wp:positionH>
            <wp:positionV relativeFrom="paragraph">
              <wp:posOffset>1905</wp:posOffset>
            </wp:positionV>
            <wp:extent cx="5486400" cy="7157085"/>
            <wp:effectExtent l="0" t="0" r="0" b="5715"/>
            <wp:wrapThrough wrapText="bothSides">
              <wp:wrapPolygon edited="0">
                <wp:start x="0" y="0"/>
                <wp:lineTo x="0" y="21560"/>
                <wp:lineTo x="21525" y="21560"/>
                <wp:lineTo x="21525" y="0"/>
                <wp:lineTo x="0" y="0"/>
              </wp:wrapPolygon>
            </wp:wrapThrough>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6400" cy="7157085"/>
                    </a:xfrm>
                    <a:prstGeom prst="rect">
                      <a:avLst/>
                    </a:prstGeom>
                  </pic:spPr>
                </pic:pic>
              </a:graphicData>
            </a:graphic>
            <wp14:sizeRelH relativeFrom="page">
              <wp14:pctWidth>0</wp14:pctWidth>
            </wp14:sizeRelH>
            <wp14:sizeRelV relativeFrom="page">
              <wp14:pctHeight>0</wp14:pctHeight>
            </wp14:sizeRelV>
          </wp:anchor>
        </w:drawing>
      </w:r>
    </w:p>
    <w:p w:rsidR="00FF5D25" w:rsidRPr="005F0E35" w:rsidRDefault="00FF5D25" w:rsidP="00CC7A7C">
      <w:pPr>
        <w:pStyle w:val="Corpsdetexte"/>
        <w:rPr>
          <w:rFonts w:asciiTheme="minorHAnsi" w:hAnsiTheme="minorHAnsi"/>
          <w:lang w:val="fr-FR"/>
        </w:rPr>
      </w:pPr>
    </w:p>
    <w:p w:rsidR="00FF5D25" w:rsidRPr="005F0E35" w:rsidRDefault="00FF5D25" w:rsidP="00CC7A7C">
      <w:pPr>
        <w:pStyle w:val="Corpsdetexte"/>
        <w:rPr>
          <w:rFonts w:asciiTheme="minorHAnsi" w:hAnsiTheme="minorHAnsi"/>
          <w:lang w:val="fr-FR"/>
        </w:rPr>
      </w:pPr>
    </w:p>
    <w:p w:rsidR="00FF5D25" w:rsidRDefault="00FF5D25"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8F1D44" w:rsidP="00CC7A7C">
      <w:pPr>
        <w:pStyle w:val="Corpsdetexte"/>
        <w:rPr>
          <w:rFonts w:asciiTheme="minorHAnsi" w:hAnsiTheme="minorHAnsi"/>
          <w:lang w:val="fr-FR"/>
        </w:rPr>
      </w:pPr>
      <w:r>
        <w:rPr>
          <w:rFonts w:asciiTheme="minorHAnsi" w:hAnsiTheme="minorHAnsi"/>
          <w:noProof/>
          <w:lang w:val="fr-FR" w:eastAsia="fr-FR"/>
        </w:rPr>
        <w:lastRenderedPageBreak/>
        <w:drawing>
          <wp:anchor distT="0" distB="0" distL="114300" distR="114300" simplePos="0" relativeHeight="251664384" behindDoc="0" locked="0" layoutInCell="1" allowOverlap="1">
            <wp:simplePos x="0" y="0"/>
            <wp:positionH relativeFrom="column">
              <wp:posOffset>2312</wp:posOffset>
            </wp:positionH>
            <wp:positionV relativeFrom="paragraph">
              <wp:posOffset>-4098</wp:posOffset>
            </wp:positionV>
            <wp:extent cx="5322570" cy="4072255"/>
            <wp:effectExtent l="0" t="0" r="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2570" cy="4072255"/>
                    </a:xfrm>
                    <a:prstGeom prst="rect">
                      <a:avLst/>
                    </a:prstGeom>
                    <a:noFill/>
                  </pic:spPr>
                </pic:pic>
              </a:graphicData>
            </a:graphic>
            <wp14:sizeRelH relativeFrom="page">
              <wp14:pctWidth>0</wp14:pctWidth>
            </wp14:sizeRelH>
            <wp14:sizeRelV relativeFrom="page">
              <wp14:pctHeight>0</wp14:pctHeight>
            </wp14:sizeRelV>
          </wp:anchor>
        </w:drawing>
      </w: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Default="00A461DF" w:rsidP="00CC7A7C">
      <w:pPr>
        <w:pStyle w:val="Corpsdetexte"/>
        <w:rPr>
          <w:rFonts w:asciiTheme="minorHAnsi" w:hAnsiTheme="minorHAnsi"/>
          <w:lang w:val="fr-FR"/>
        </w:rPr>
      </w:pPr>
    </w:p>
    <w:p w:rsidR="00A461DF" w:rsidRPr="005F0E35" w:rsidRDefault="00A461DF" w:rsidP="00CC7A7C">
      <w:pPr>
        <w:pStyle w:val="Corpsdetexte"/>
        <w:rPr>
          <w:rFonts w:asciiTheme="minorHAnsi" w:hAnsiTheme="minorHAnsi"/>
          <w:lang w:val="fr-FR"/>
        </w:rPr>
      </w:pPr>
    </w:p>
    <w:sectPr w:rsidR="00A461DF" w:rsidRPr="005F0E35" w:rsidSect="00FF5D25">
      <w:pgSz w:w="11900" w:h="16840"/>
      <w:pgMar w:top="1134" w:right="1242" w:bottom="1134" w:left="1219" w:header="55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98F" w:rsidRDefault="00EA498F" w:rsidP="002E2E36">
      <w:pPr>
        <w:spacing w:before="0"/>
      </w:pPr>
      <w:r>
        <w:separator/>
      </w:r>
    </w:p>
  </w:endnote>
  <w:endnote w:type="continuationSeparator" w:id="0">
    <w:p w:rsidR="00EA498F" w:rsidRDefault="00EA498F" w:rsidP="002E2E3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A02" w:rsidRDefault="00176A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6A6" w:rsidRDefault="00B176A6">
    <w:pPr>
      <w:pStyle w:val="Pieddepage"/>
    </w:pPr>
    <w:r>
      <w:tab/>
    </w:r>
    <w:r w:rsidRPr="00AF132D">
      <w:rPr>
        <w:sz w:val="20"/>
      </w:rPr>
      <w:t>Octobre 2019</w:t>
    </w:r>
  </w:p>
  <w:p w:rsidR="00B176A6" w:rsidRDefault="00B176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A02" w:rsidRDefault="00176A0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E36" w:rsidRPr="002E2E36" w:rsidRDefault="002E2E36" w:rsidP="008A2C1D">
    <w:pPr>
      <w:pStyle w:val="Pieddepage"/>
      <w:pBdr>
        <w:top w:val="thinThickSmallGap" w:sz="24" w:space="0" w:color="622423" w:themeColor="accent2" w:themeShade="7F"/>
      </w:pBdr>
      <w:rPr>
        <w:rFonts w:asciiTheme="majorHAnsi" w:eastAsiaTheme="majorEastAsia" w:hAnsiTheme="majorHAnsi" w:cstheme="majorBidi"/>
        <w:b/>
        <w:color w:val="A6A6A6" w:themeColor="background1" w:themeShade="A6"/>
      </w:rPr>
    </w:pPr>
    <w:r w:rsidRPr="002E2E36">
      <w:rPr>
        <w:rFonts w:asciiTheme="majorHAnsi" w:eastAsiaTheme="majorEastAsia" w:hAnsiTheme="majorHAnsi" w:cstheme="majorBidi"/>
        <w:b/>
        <w:color w:val="A6A6A6" w:themeColor="background1" w:themeShade="A6"/>
      </w:rPr>
      <w:t xml:space="preserve">Cnam /DDGOS/DOS/DHOSPI             </w:t>
    </w:r>
    <w:r>
      <w:rPr>
        <w:rFonts w:asciiTheme="majorHAnsi" w:eastAsiaTheme="majorEastAsia" w:hAnsiTheme="majorHAnsi" w:cstheme="majorBidi"/>
        <w:b/>
        <w:color w:val="A6A6A6" w:themeColor="background1" w:themeShade="A6"/>
      </w:rPr>
      <w:tab/>
    </w:r>
    <w:r w:rsidRPr="002E2E36">
      <w:rPr>
        <w:rFonts w:asciiTheme="majorHAnsi" w:eastAsiaTheme="majorEastAsia" w:hAnsiTheme="majorHAnsi" w:cstheme="majorBidi"/>
        <w:b/>
        <w:color w:val="A6A6A6" w:themeColor="background1" w:themeShade="A6"/>
      </w:rPr>
      <w:t xml:space="preserve"> Août 2019</w:t>
    </w:r>
    <w:r w:rsidRPr="002E2E36">
      <w:rPr>
        <w:rFonts w:asciiTheme="majorHAnsi" w:eastAsiaTheme="majorEastAsia" w:hAnsiTheme="majorHAnsi" w:cstheme="majorBidi"/>
        <w:b/>
        <w:color w:val="A6A6A6" w:themeColor="background1" w:themeShade="A6"/>
      </w:rPr>
      <w:ptab w:relativeTo="margin" w:alignment="right" w:leader="none"/>
    </w:r>
    <w:r w:rsidRPr="002E2E36">
      <w:rPr>
        <w:rFonts w:asciiTheme="majorHAnsi" w:eastAsiaTheme="majorEastAsia" w:hAnsiTheme="majorHAnsi" w:cstheme="majorBidi"/>
        <w:b/>
        <w:color w:val="A6A6A6" w:themeColor="background1" w:themeShade="A6"/>
      </w:rPr>
      <w:t xml:space="preserve">Page </w:t>
    </w:r>
    <w:r w:rsidRPr="002E2E36">
      <w:rPr>
        <w:rFonts w:asciiTheme="minorHAnsi" w:eastAsiaTheme="minorEastAsia" w:hAnsiTheme="minorHAnsi" w:cstheme="minorBidi"/>
        <w:b/>
        <w:color w:val="A6A6A6" w:themeColor="background1" w:themeShade="A6"/>
      </w:rPr>
      <w:fldChar w:fldCharType="begin"/>
    </w:r>
    <w:r w:rsidRPr="002E2E36">
      <w:rPr>
        <w:b/>
        <w:color w:val="A6A6A6" w:themeColor="background1" w:themeShade="A6"/>
      </w:rPr>
      <w:instrText>PAGE   \* MERGEFORMAT</w:instrText>
    </w:r>
    <w:r w:rsidRPr="002E2E36">
      <w:rPr>
        <w:rFonts w:asciiTheme="minorHAnsi" w:eastAsiaTheme="minorEastAsia" w:hAnsiTheme="minorHAnsi" w:cstheme="minorBidi"/>
        <w:b/>
        <w:color w:val="A6A6A6" w:themeColor="background1" w:themeShade="A6"/>
      </w:rPr>
      <w:fldChar w:fldCharType="separate"/>
    </w:r>
    <w:r w:rsidR="00176A02" w:rsidRPr="00176A02">
      <w:rPr>
        <w:rFonts w:asciiTheme="majorHAnsi" w:eastAsiaTheme="majorEastAsia" w:hAnsiTheme="majorHAnsi" w:cstheme="majorBidi"/>
        <w:b/>
        <w:noProof/>
        <w:color w:val="A6A6A6" w:themeColor="background1" w:themeShade="A6"/>
      </w:rPr>
      <w:t>6</w:t>
    </w:r>
    <w:r w:rsidRPr="002E2E36">
      <w:rPr>
        <w:rFonts w:asciiTheme="majorHAnsi" w:eastAsiaTheme="majorEastAsia" w:hAnsiTheme="majorHAnsi" w:cstheme="majorBidi"/>
        <w:b/>
        <w:color w:val="A6A6A6" w:themeColor="background1" w:themeShade="A6"/>
      </w:rPr>
      <w:fldChar w:fldCharType="end"/>
    </w:r>
  </w:p>
  <w:p w:rsidR="002E2E36" w:rsidRDefault="002E2E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98F" w:rsidRDefault="00EA498F" w:rsidP="002E2E36">
      <w:pPr>
        <w:spacing w:before="0"/>
      </w:pPr>
      <w:r>
        <w:separator/>
      </w:r>
    </w:p>
  </w:footnote>
  <w:footnote w:type="continuationSeparator" w:id="0">
    <w:p w:rsidR="00EA498F" w:rsidRDefault="00EA498F" w:rsidP="002E2E3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A02" w:rsidRDefault="00176A0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828" w:rsidRDefault="00173952">
    <w:pPr>
      <w:pStyle w:val="En-tte"/>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A02" w:rsidRDefault="00176A02">
    <w:pPr>
      <w:pStyle w:val="En-tte"/>
    </w:pPr>
    <w:r>
      <w:rPr>
        <w:noProof/>
        <w:lang w:eastAsia="fr-FR"/>
      </w:rPr>
      <w:drawing>
        <wp:inline distT="0" distB="0" distL="0" distR="0" wp14:anchorId="0832C75B" wp14:editId="1F169EEA">
          <wp:extent cx="1105200" cy="630000"/>
          <wp:effectExtent l="0" t="0" r="0" b="0"/>
          <wp:docPr id="1" name="Picture 245" descr="logo_Diap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5" descr="logo_Diaporam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5200" cy="630000"/>
                  </a:xfrm>
                  <a:prstGeom prst="rect">
                    <a:avLst/>
                  </a:prstGeom>
                  <a:noFill/>
                  <a:ln>
                    <a:noFill/>
                  </a:ln>
                  <a:extLst/>
                </pic:spPr>
              </pic:pic>
            </a:graphicData>
          </a:graphic>
        </wp:inline>
      </w:drawing>
    </w:r>
    <w:r w:rsidRPr="00176A02">
      <w:t xml:space="preserve"> </w:t>
    </w:r>
    <w:r>
      <w:tab/>
    </w:r>
    <w:bookmarkStart w:id="0" w:name="_GoBack"/>
    <w:bookmarkEnd w:id="0"/>
    <w:r>
      <w:t>ANNEXE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B05E3"/>
    <w:multiLevelType w:val="multilevel"/>
    <w:tmpl w:val="1AD27120"/>
    <w:lvl w:ilvl="0">
      <w:start w:val="3"/>
      <w:numFmt w:val="decimal"/>
      <w:lvlText w:val="%1"/>
      <w:lvlJc w:val="left"/>
      <w:pPr>
        <w:ind w:left="748" w:hanging="298"/>
      </w:pPr>
      <w:rPr>
        <w:rFonts w:hint="default"/>
      </w:rPr>
    </w:lvl>
    <w:lvl w:ilvl="1">
      <w:start w:val="1"/>
      <w:numFmt w:val="decimal"/>
      <w:lvlText w:val="%1.%2"/>
      <w:lvlJc w:val="left"/>
      <w:pPr>
        <w:ind w:left="748" w:hanging="298"/>
      </w:pPr>
      <w:rPr>
        <w:rFonts w:hint="default"/>
        <w:spacing w:val="-1"/>
        <w:w w:val="103"/>
        <w:u w:val="single" w:color="000000"/>
      </w:rPr>
    </w:lvl>
    <w:lvl w:ilvl="2">
      <w:numFmt w:val="bullet"/>
      <w:lvlText w:val="•"/>
      <w:lvlJc w:val="left"/>
      <w:pPr>
        <w:ind w:left="1836" w:hanging="298"/>
      </w:pPr>
      <w:rPr>
        <w:rFonts w:hint="default"/>
      </w:rPr>
    </w:lvl>
    <w:lvl w:ilvl="3">
      <w:numFmt w:val="bullet"/>
      <w:lvlText w:val="•"/>
      <w:lvlJc w:val="left"/>
      <w:pPr>
        <w:ind w:left="2384" w:hanging="298"/>
      </w:pPr>
      <w:rPr>
        <w:rFonts w:hint="default"/>
      </w:rPr>
    </w:lvl>
    <w:lvl w:ilvl="4">
      <w:numFmt w:val="bullet"/>
      <w:lvlText w:val="•"/>
      <w:lvlJc w:val="left"/>
      <w:pPr>
        <w:ind w:left="2932" w:hanging="298"/>
      </w:pPr>
      <w:rPr>
        <w:rFonts w:hint="default"/>
      </w:rPr>
    </w:lvl>
    <w:lvl w:ilvl="5">
      <w:numFmt w:val="bullet"/>
      <w:lvlText w:val="•"/>
      <w:lvlJc w:val="left"/>
      <w:pPr>
        <w:ind w:left="3481" w:hanging="298"/>
      </w:pPr>
      <w:rPr>
        <w:rFonts w:hint="default"/>
      </w:rPr>
    </w:lvl>
    <w:lvl w:ilvl="6">
      <w:numFmt w:val="bullet"/>
      <w:lvlText w:val="•"/>
      <w:lvlJc w:val="left"/>
      <w:pPr>
        <w:ind w:left="4029" w:hanging="298"/>
      </w:pPr>
      <w:rPr>
        <w:rFonts w:hint="default"/>
      </w:rPr>
    </w:lvl>
    <w:lvl w:ilvl="7">
      <w:numFmt w:val="bullet"/>
      <w:lvlText w:val="•"/>
      <w:lvlJc w:val="left"/>
      <w:pPr>
        <w:ind w:left="4577" w:hanging="298"/>
      </w:pPr>
      <w:rPr>
        <w:rFonts w:hint="default"/>
      </w:rPr>
    </w:lvl>
    <w:lvl w:ilvl="8">
      <w:numFmt w:val="bullet"/>
      <w:lvlText w:val="•"/>
      <w:lvlJc w:val="left"/>
      <w:pPr>
        <w:ind w:left="5125" w:hanging="298"/>
      </w:pPr>
      <w:rPr>
        <w:rFonts w:hint="default"/>
      </w:rPr>
    </w:lvl>
  </w:abstractNum>
  <w:abstractNum w:abstractNumId="1" w15:restartNumberingAfterBreak="0">
    <w:nsid w:val="2CAE39E8"/>
    <w:multiLevelType w:val="hybridMultilevel"/>
    <w:tmpl w:val="EE163FBA"/>
    <w:lvl w:ilvl="0" w:tplc="9FE48A6C">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33DB0704"/>
    <w:multiLevelType w:val="hybridMultilevel"/>
    <w:tmpl w:val="03CCFF18"/>
    <w:lvl w:ilvl="0" w:tplc="BEE61F16">
      <w:start w:val="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D5577F"/>
    <w:multiLevelType w:val="hybridMultilevel"/>
    <w:tmpl w:val="C36CA4EA"/>
    <w:lvl w:ilvl="0" w:tplc="192AB678">
      <w:numFmt w:val="bullet"/>
      <w:lvlText w:val="-"/>
      <w:lvlJc w:val="left"/>
      <w:pPr>
        <w:ind w:left="565" w:hanging="116"/>
      </w:pPr>
      <w:rPr>
        <w:rFonts w:ascii="Times New Roman" w:eastAsia="Times New Roman" w:hAnsi="Times New Roman" w:cs="Times New Roman" w:hint="default"/>
        <w:b/>
        <w:bCs/>
        <w:w w:val="103"/>
        <w:sz w:val="19"/>
        <w:szCs w:val="19"/>
      </w:rPr>
    </w:lvl>
    <w:lvl w:ilvl="1" w:tplc="8DCEC0FE">
      <w:numFmt w:val="bullet"/>
      <w:lvlText w:val="•"/>
      <w:lvlJc w:val="left"/>
      <w:pPr>
        <w:ind w:left="1448" w:hanging="116"/>
      </w:pPr>
      <w:rPr>
        <w:rFonts w:hint="default"/>
      </w:rPr>
    </w:lvl>
    <w:lvl w:ilvl="2" w:tplc="8206A0F0">
      <w:numFmt w:val="bullet"/>
      <w:lvlText w:val="•"/>
      <w:lvlJc w:val="left"/>
      <w:pPr>
        <w:ind w:left="2336" w:hanging="116"/>
      </w:pPr>
      <w:rPr>
        <w:rFonts w:hint="default"/>
      </w:rPr>
    </w:lvl>
    <w:lvl w:ilvl="3" w:tplc="C87481E8">
      <w:numFmt w:val="bullet"/>
      <w:lvlText w:val="•"/>
      <w:lvlJc w:val="left"/>
      <w:pPr>
        <w:ind w:left="3224" w:hanging="116"/>
      </w:pPr>
      <w:rPr>
        <w:rFonts w:hint="default"/>
      </w:rPr>
    </w:lvl>
    <w:lvl w:ilvl="4" w:tplc="03144D76">
      <w:numFmt w:val="bullet"/>
      <w:lvlText w:val="•"/>
      <w:lvlJc w:val="left"/>
      <w:pPr>
        <w:ind w:left="4112" w:hanging="116"/>
      </w:pPr>
      <w:rPr>
        <w:rFonts w:hint="default"/>
      </w:rPr>
    </w:lvl>
    <w:lvl w:ilvl="5" w:tplc="0BBA19FA">
      <w:numFmt w:val="bullet"/>
      <w:lvlText w:val="•"/>
      <w:lvlJc w:val="left"/>
      <w:pPr>
        <w:ind w:left="5000" w:hanging="116"/>
      </w:pPr>
      <w:rPr>
        <w:rFonts w:hint="default"/>
      </w:rPr>
    </w:lvl>
    <w:lvl w:ilvl="6" w:tplc="F28A54EE">
      <w:numFmt w:val="bullet"/>
      <w:lvlText w:val="•"/>
      <w:lvlJc w:val="left"/>
      <w:pPr>
        <w:ind w:left="5888" w:hanging="116"/>
      </w:pPr>
      <w:rPr>
        <w:rFonts w:hint="default"/>
      </w:rPr>
    </w:lvl>
    <w:lvl w:ilvl="7" w:tplc="A020610A">
      <w:numFmt w:val="bullet"/>
      <w:lvlText w:val="•"/>
      <w:lvlJc w:val="left"/>
      <w:pPr>
        <w:ind w:left="6776" w:hanging="116"/>
      </w:pPr>
      <w:rPr>
        <w:rFonts w:hint="default"/>
      </w:rPr>
    </w:lvl>
    <w:lvl w:ilvl="8" w:tplc="3BA22F9C">
      <w:numFmt w:val="bullet"/>
      <w:lvlText w:val="•"/>
      <w:lvlJc w:val="left"/>
      <w:pPr>
        <w:ind w:left="7664" w:hanging="116"/>
      </w:pPr>
      <w:rPr>
        <w:rFonts w:hint="default"/>
      </w:rPr>
    </w:lvl>
  </w:abstractNum>
  <w:abstractNum w:abstractNumId="4" w15:restartNumberingAfterBreak="0">
    <w:nsid w:val="43414A99"/>
    <w:multiLevelType w:val="hybridMultilevel"/>
    <w:tmpl w:val="19122E70"/>
    <w:lvl w:ilvl="0" w:tplc="83F61536">
      <w:numFmt w:val="bullet"/>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44DB4DC0"/>
    <w:multiLevelType w:val="hybridMultilevel"/>
    <w:tmpl w:val="AEF68452"/>
    <w:lvl w:ilvl="0" w:tplc="34F6378E">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5D8E4FAA"/>
    <w:multiLevelType w:val="hybridMultilevel"/>
    <w:tmpl w:val="ACFCD53C"/>
    <w:lvl w:ilvl="0" w:tplc="9294D4A8">
      <w:numFmt w:val="bullet"/>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15:restartNumberingAfterBreak="0">
    <w:nsid w:val="660644D5"/>
    <w:multiLevelType w:val="hybridMultilevel"/>
    <w:tmpl w:val="F4644D4A"/>
    <w:lvl w:ilvl="0" w:tplc="CB12169E">
      <w:numFmt w:val="bullet"/>
      <w:lvlText w:val="-"/>
      <w:lvlJc w:val="left"/>
      <w:pPr>
        <w:ind w:left="1764" w:hanging="360"/>
      </w:pPr>
      <w:rPr>
        <w:rFonts w:ascii="Calibri" w:eastAsia="Calibri" w:hAnsi="Calibri" w:cs="Times New Roman" w:hint="default"/>
      </w:rPr>
    </w:lvl>
    <w:lvl w:ilvl="1" w:tplc="040C0003" w:tentative="1">
      <w:start w:val="1"/>
      <w:numFmt w:val="bullet"/>
      <w:lvlText w:val="o"/>
      <w:lvlJc w:val="left"/>
      <w:pPr>
        <w:ind w:left="2484" w:hanging="360"/>
      </w:pPr>
      <w:rPr>
        <w:rFonts w:ascii="Courier New" w:hAnsi="Courier New" w:cs="Courier New" w:hint="default"/>
      </w:rPr>
    </w:lvl>
    <w:lvl w:ilvl="2" w:tplc="040C0005" w:tentative="1">
      <w:start w:val="1"/>
      <w:numFmt w:val="bullet"/>
      <w:lvlText w:val=""/>
      <w:lvlJc w:val="left"/>
      <w:pPr>
        <w:ind w:left="3204" w:hanging="360"/>
      </w:pPr>
      <w:rPr>
        <w:rFonts w:ascii="Wingdings" w:hAnsi="Wingdings" w:hint="default"/>
      </w:rPr>
    </w:lvl>
    <w:lvl w:ilvl="3" w:tplc="040C0001" w:tentative="1">
      <w:start w:val="1"/>
      <w:numFmt w:val="bullet"/>
      <w:lvlText w:val=""/>
      <w:lvlJc w:val="left"/>
      <w:pPr>
        <w:ind w:left="3924" w:hanging="360"/>
      </w:pPr>
      <w:rPr>
        <w:rFonts w:ascii="Symbol" w:hAnsi="Symbol" w:hint="default"/>
      </w:rPr>
    </w:lvl>
    <w:lvl w:ilvl="4" w:tplc="040C0003" w:tentative="1">
      <w:start w:val="1"/>
      <w:numFmt w:val="bullet"/>
      <w:lvlText w:val="o"/>
      <w:lvlJc w:val="left"/>
      <w:pPr>
        <w:ind w:left="4644" w:hanging="360"/>
      </w:pPr>
      <w:rPr>
        <w:rFonts w:ascii="Courier New" w:hAnsi="Courier New" w:cs="Courier New" w:hint="default"/>
      </w:rPr>
    </w:lvl>
    <w:lvl w:ilvl="5" w:tplc="040C0005" w:tentative="1">
      <w:start w:val="1"/>
      <w:numFmt w:val="bullet"/>
      <w:lvlText w:val=""/>
      <w:lvlJc w:val="left"/>
      <w:pPr>
        <w:ind w:left="5364" w:hanging="360"/>
      </w:pPr>
      <w:rPr>
        <w:rFonts w:ascii="Wingdings" w:hAnsi="Wingdings" w:hint="default"/>
      </w:rPr>
    </w:lvl>
    <w:lvl w:ilvl="6" w:tplc="040C0001" w:tentative="1">
      <w:start w:val="1"/>
      <w:numFmt w:val="bullet"/>
      <w:lvlText w:val=""/>
      <w:lvlJc w:val="left"/>
      <w:pPr>
        <w:ind w:left="6084" w:hanging="360"/>
      </w:pPr>
      <w:rPr>
        <w:rFonts w:ascii="Symbol" w:hAnsi="Symbol" w:hint="default"/>
      </w:rPr>
    </w:lvl>
    <w:lvl w:ilvl="7" w:tplc="040C0003" w:tentative="1">
      <w:start w:val="1"/>
      <w:numFmt w:val="bullet"/>
      <w:lvlText w:val="o"/>
      <w:lvlJc w:val="left"/>
      <w:pPr>
        <w:ind w:left="6804" w:hanging="360"/>
      </w:pPr>
      <w:rPr>
        <w:rFonts w:ascii="Courier New" w:hAnsi="Courier New" w:cs="Courier New" w:hint="default"/>
      </w:rPr>
    </w:lvl>
    <w:lvl w:ilvl="8" w:tplc="040C0005" w:tentative="1">
      <w:start w:val="1"/>
      <w:numFmt w:val="bullet"/>
      <w:lvlText w:val=""/>
      <w:lvlJc w:val="left"/>
      <w:pPr>
        <w:ind w:left="7524" w:hanging="360"/>
      </w:pPr>
      <w:rPr>
        <w:rFonts w:ascii="Wingdings" w:hAnsi="Wingdings" w:hint="default"/>
      </w:rPr>
    </w:lvl>
  </w:abstractNum>
  <w:abstractNum w:abstractNumId="8" w15:restartNumberingAfterBreak="0">
    <w:nsid w:val="6BE631CD"/>
    <w:multiLevelType w:val="hybridMultilevel"/>
    <w:tmpl w:val="8724EB86"/>
    <w:lvl w:ilvl="0" w:tplc="040C0001">
      <w:start w:val="1"/>
      <w:numFmt w:val="bullet"/>
      <w:lvlText w:val=""/>
      <w:lvlJc w:val="left"/>
      <w:pPr>
        <w:ind w:left="1467" w:hanging="360"/>
      </w:pPr>
      <w:rPr>
        <w:rFonts w:ascii="Symbol" w:hAnsi="Symbol" w:hint="default"/>
      </w:rPr>
    </w:lvl>
    <w:lvl w:ilvl="1" w:tplc="040C0003" w:tentative="1">
      <w:start w:val="1"/>
      <w:numFmt w:val="bullet"/>
      <w:lvlText w:val="o"/>
      <w:lvlJc w:val="left"/>
      <w:pPr>
        <w:ind w:left="2187" w:hanging="360"/>
      </w:pPr>
      <w:rPr>
        <w:rFonts w:ascii="Courier New" w:hAnsi="Courier New" w:cs="Courier New" w:hint="default"/>
      </w:rPr>
    </w:lvl>
    <w:lvl w:ilvl="2" w:tplc="040C0005" w:tentative="1">
      <w:start w:val="1"/>
      <w:numFmt w:val="bullet"/>
      <w:lvlText w:val=""/>
      <w:lvlJc w:val="left"/>
      <w:pPr>
        <w:ind w:left="2907" w:hanging="360"/>
      </w:pPr>
      <w:rPr>
        <w:rFonts w:ascii="Wingdings" w:hAnsi="Wingdings" w:hint="default"/>
      </w:rPr>
    </w:lvl>
    <w:lvl w:ilvl="3" w:tplc="040C0001" w:tentative="1">
      <w:start w:val="1"/>
      <w:numFmt w:val="bullet"/>
      <w:lvlText w:val=""/>
      <w:lvlJc w:val="left"/>
      <w:pPr>
        <w:ind w:left="3627" w:hanging="360"/>
      </w:pPr>
      <w:rPr>
        <w:rFonts w:ascii="Symbol" w:hAnsi="Symbol" w:hint="default"/>
      </w:rPr>
    </w:lvl>
    <w:lvl w:ilvl="4" w:tplc="040C0003" w:tentative="1">
      <w:start w:val="1"/>
      <w:numFmt w:val="bullet"/>
      <w:lvlText w:val="o"/>
      <w:lvlJc w:val="left"/>
      <w:pPr>
        <w:ind w:left="4347" w:hanging="360"/>
      </w:pPr>
      <w:rPr>
        <w:rFonts w:ascii="Courier New" w:hAnsi="Courier New" w:cs="Courier New" w:hint="default"/>
      </w:rPr>
    </w:lvl>
    <w:lvl w:ilvl="5" w:tplc="040C0005" w:tentative="1">
      <w:start w:val="1"/>
      <w:numFmt w:val="bullet"/>
      <w:lvlText w:val=""/>
      <w:lvlJc w:val="left"/>
      <w:pPr>
        <w:ind w:left="5067" w:hanging="360"/>
      </w:pPr>
      <w:rPr>
        <w:rFonts w:ascii="Wingdings" w:hAnsi="Wingdings" w:hint="default"/>
      </w:rPr>
    </w:lvl>
    <w:lvl w:ilvl="6" w:tplc="040C0001" w:tentative="1">
      <w:start w:val="1"/>
      <w:numFmt w:val="bullet"/>
      <w:lvlText w:val=""/>
      <w:lvlJc w:val="left"/>
      <w:pPr>
        <w:ind w:left="5787" w:hanging="360"/>
      </w:pPr>
      <w:rPr>
        <w:rFonts w:ascii="Symbol" w:hAnsi="Symbol" w:hint="default"/>
      </w:rPr>
    </w:lvl>
    <w:lvl w:ilvl="7" w:tplc="040C0003" w:tentative="1">
      <w:start w:val="1"/>
      <w:numFmt w:val="bullet"/>
      <w:lvlText w:val="o"/>
      <w:lvlJc w:val="left"/>
      <w:pPr>
        <w:ind w:left="6507" w:hanging="360"/>
      </w:pPr>
      <w:rPr>
        <w:rFonts w:ascii="Courier New" w:hAnsi="Courier New" w:cs="Courier New" w:hint="default"/>
      </w:rPr>
    </w:lvl>
    <w:lvl w:ilvl="8" w:tplc="040C0005" w:tentative="1">
      <w:start w:val="1"/>
      <w:numFmt w:val="bullet"/>
      <w:lvlText w:val=""/>
      <w:lvlJc w:val="left"/>
      <w:pPr>
        <w:ind w:left="7227" w:hanging="360"/>
      </w:pPr>
      <w:rPr>
        <w:rFonts w:ascii="Wingdings" w:hAnsi="Wingdings" w:hint="default"/>
      </w:rPr>
    </w:lvl>
  </w:abstractNum>
  <w:abstractNum w:abstractNumId="9" w15:restartNumberingAfterBreak="0">
    <w:nsid w:val="6ED5360C"/>
    <w:multiLevelType w:val="hybridMultilevel"/>
    <w:tmpl w:val="878C64D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6"/>
  </w:num>
  <w:num w:numId="5">
    <w:abstractNumId w:val="5"/>
  </w:num>
  <w:num w:numId="6">
    <w:abstractNumId w:val="1"/>
  </w:num>
  <w:num w:numId="7">
    <w:abstractNumId w:val="8"/>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36A"/>
    <w:rsid w:val="00033B96"/>
    <w:rsid w:val="00042C20"/>
    <w:rsid w:val="00044155"/>
    <w:rsid w:val="0004593B"/>
    <w:rsid w:val="00075BD8"/>
    <w:rsid w:val="000D6F78"/>
    <w:rsid w:val="000E3920"/>
    <w:rsid w:val="001413B6"/>
    <w:rsid w:val="00173952"/>
    <w:rsid w:val="00176A02"/>
    <w:rsid w:val="00183215"/>
    <w:rsid w:val="00184DCE"/>
    <w:rsid w:val="00197346"/>
    <w:rsid w:val="001B1FE7"/>
    <w:rsid w:val="001F4EFF"/>
    <w:rsid w:val="001F5058"/>
    <w:rsid w:val="00215032"/>
    <w:rsid w:val="00256FEF"/>
    <w:rsid w:val="00277225"/>
    <w:rsid w:val="00285B26"/>
    <w:rsid w:val="00287C39"/>
    <w:rsid w:val="002A75C3"/>
    <w:rsid w:val="002B3731"/>
    <w:rsid w:val="002E2E36"/>
    <w:rsid w:val="00324514"/>
    <w:rsid w:val="00377FD3"/>
    <w:rsid w:val="003902FA"/>
    <w:rsid w:val="003A2E4F"/>
    <w:rsid w:val="003C1661"/>
    <w:rsid w:val="003D0D5C"/>
    <w:rsid w:val="003E665D"/>
    <w:rsid w:val="0041449D"/>
    <w:rsid w:val="0041791B"/>
    <w:rsid w:val="0041797A"/>
    <w:rsid w:val="00443B18"/>
    <w:rsid w:val="00473D27"/>
    <w:rsid w:val="00517F2A"/>
    <w:rsid w:val="005554D8"/>
    <w:rsid w:val="005638CB"/>
    <w:rsid w:val="00592A8D"/>
    <w:rsid w:val="005A6FB5"/>
    <w:rsid w:val="005D5DD8"/>
    <w:rsid w:val="005E540B"/>
    <w:rsid w:val="005F0E35"/>
    <w:rsid w:val="006856AD"/>
    <w:rsid w:val="0068704B"/>
    <w:rsid w:val="00697F4D"/>
    <w:rsid w:val="006B4C2D"/>
    <w:rsid w:val="006C5CF2"/>
    <w:rsid w:val="00705A6D"/>
    <w:rsid w:val="007275B8"/>
    <w:rsid w:val="00783E41"/>
    <w:rsid w:val="0078636A"/>
    <w:rsid w:val="007D2C1C"/>
    <w:rsid w:val="00835BC6"/>
    <w:rsid w:val="008454BD"/>
    <w:rsid w:val="0085098D"/>
    <w:rsid w:val="008916EA"/>
    <w:rsid w:val="00891828"/>
    <w:rsid w:val="008A2C1D"/>
    <w:rsid w:val="008F1D44"/>
    <w:rsid w:val="008F292C"/>
    <w:rsid w:val="00910342"/>
    <w:rsid w:val="009531AA"/>
    <w:rsid w:val="00971694"/>
    <w:rsid w:val="00971711"/>
    <w:rsid w:val="009866A2"/>
    <w:rsid w:val="009A04D8"/>
    <w:rsid w:val="009A0D37"/>
    <w:rsid w:val="00A00442"/>
    <w:rsid w:val="00A318FC"/>
    <w:rsid w:val="00A461DF"/>
    <w:rsid w:val="00A67F0E"/>
    <w:rsid w:val="00AB2D22"/>
    <w:rsid w:val="00AD2EC6"/>
    <w:rsid w:val="00AF132D"/>
    <w:rsid w:val="00AF7F7B"/>
    <w:rsid w:val="00B176A6"/>
    <w:rsid w:val="00B34587"/>
    <w:rsid w:val="00B8388C"/>
    <w:rsid w:val="00BA193B"/>
    <w:rsid w:val="00C03084"/>
    <w:rsid w:val="00C129E3"/>
    <w:rsid w:val="00C13D25"/>
    <w:rsid w:val="00C17FC3"/>
    <w:rsid w:val="00C809C0"/>
    <w:rsid w:val="00CC7A7C"/>
    <w:rsid w:val="00CF6B55"/>
    <w:rsid w:val="00D15641"/>
    <w:rsid w:val="00D31429"/>
    <w:rsid w:val="00D44E60"/>
    <w:rsid w:val="00D5332B"/>
    <w:rsid w:val="00D53928"/>
    <w:rsid w:val="00DB560D"/>
    <w:rsid w:val="00DE14B0"/>
    <w:rsid w:val="00E02FD4"/>
    <w:rsid w:val="00E55286"/>
    <w:rsid w:val="00E626AB"/>
    <w:rsid w:val="00E70F3D"/>
    <w:rsid w:val="00E726D6"/>
    <w:rsid w:val="00E7728C"/>
    <w:rsid w:val="00EA498F"/>
    <w:rsid w:val="00F140B7"/>
    <w:rsid w:val="00F77BA5"/>
    <w:rsid w:val="00FE4BE2"/>
    <w:rsid w:val="00FF5D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6EDCA2"/>
  <w15:docId w15:val="{DBEB04DF-E3CC-434A-B32C-EB106560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jc w:val="both"/>
    </w:pPr>
    <w:rPr>
      <w:sz w:val="22"/>
      <w:szCs w:val="22"/>
      <w:lang w:eastAsia="en-US"/>
    </w:rPr>
  </w:style>
  <w:style w:type="paragraph" w:styleId="Titre1">
    <w:name w:val="heading 1"/>
    <w:basedOn w:val="Normal"/>
    <w:link w:val="Titre1Car"/>
    <w:uiPriority w:val="1"/>
    <w:qFormat/>
    <w:rsid w:val="00256FEF"/>
    <w:pPr>
      <w:widowControl w:val="0"/>
      <w:autoSpaceDE w:val="0"/>
      <w:autoSpaceDN w:val="0"/>
      <w:spacing w:before="0"/>
      <w:ind w:left="748"/>
      <w:jc w:val="left"/>
      <w:outlineLvl w:val="0"/>
    </w:pPr>
    <w:rPr>
      <w:rFonts w:ascii="Times New Roman" w:eastAsia="Times New Roman" w:hAnsi="Times New Roman"/>
      <w:b/>
      <w:bCs/>
      <w:sz w:val="19"/>
      <w:szCs w:val="19"/>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2E36"/>
    <w:pPr>
      <w:tabs>
        <w:tab w:val="center" w:pos="4536"/>
        <w:tab w:val="right" w:pos="9072"/>
      </w:tabs>
      <w:spacing w:before="0"/>
    </w:pPr>
  </w:style>
  <w:style w:type="character" w:customStyle="1" w:styleId="En-tteCar">
    <w:name w:val="En-tête Car"/>
    <w:basedOn w:val="Policepardfaut"/>
    <w:link w:val="En-tte"/>
    <w:uiPriority w:val="99"/>
    <w:rsid w:val="002E2E36"/>
    <w:rPr>
      <w:sz w:val="22"/>
      <w:szCs w:val="22"/>
      <w:lang w:eastAsia="en-US"/>
    </w:rPr>
  </w:style>
  <w:style w:type="paragraph" w:styleId="Pieddepage">
    <w:name w:val="footer"/>
    <w:basedOn w:val="Normal"/>
    <w:link w:val="PieddepageCar"/>
    <w:uiPriority w:val="99"/>
    <w:unhideWhenUsed/>
    <w:rsid w:val="002E2E36"/>
    <w:pPr>
      <w:tabs>
        <w:tab w:val="center" w:pos="4536"/>
        <w:tab w:val="right" w:pos="9072"/>
      </w:tabs>
      <w:spacing w:before="0"/>
    </w:pPr>
  </w:style>
  <w:style w:type="character" w:customStyle="1" w:styleId="PieddepageCar">
    <w:name w:val="Pied de page Car"/>
    <w:basedOn w:val="Policepardfaut"/>
    <w:link w:val="Pieddepage"/>
    <w:uiPriority w:val="99"/>
    <w:rsid w:val="002E2E36"/>
    <w:rPr>
      <w:sz w:val="22"/>
      <w:szCs w:val="22"/>
      <w:lang w:eastAsia="en-US"/>
    </w:rPr>
  </w:style>
  <w:style w:type="paragraph" w:styleId="Textedebulles">
    <w:name w:val="Balloon Text"/>
    <w:basedOn w:val="Normal"/>
    <w:link w:val="TextedebullesCar"/>
    <w:uiPriority w:val="99"/>
    <w:semiHidden/>
    <w:unhideWhenUsed/>
    <w:rsid w:val="002E2E36"/>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2E2E36"/>
    <w:rPr>
      <w:rFonts w:ascii="Tahoma" w:hAnsi="Tahoma" w:cs="Tahoma"/>
      <w:sz w:val="16"/>
      <w:szCs w:val="16"/>
      <w:lang w:eastAsia="en-US"/>
    </w:rPr>
  </w:style>
  <w:style w:type="character" w:customStyle="1" w:styleId="Titre1Car">
    <w:name w:val="Titre 1 Car"/>
    <w:basedOn w:val="Policepardfaut"/>
    <w:link w:val="Titre1"/>
    <w:uiPriority w:val="1"/>
    <w:rsid w:val="00256FEF"/>
    <w:rPr>
      <w:rFonts w:ascii="Times New Roman" w:eastAsia="Times New Roman" w:hAnsi="Times New Roman"/>
      <w:b/>
      <w:bCs/>
      <w:sz w:val="19"/>
      <w:szCs w:val="19"/>
      <w:lang w:val="en-US" w:eastAsia="en-US"/>
    </w:rPr>
  </w:style>
  <w:style w:type="table" w:customStyle="1" w:styleId="TableNormal">
    <w:name w:val="Table Normal"/>
    <w:uiPriority w:val="2"/>
    <w:semiHidden/>
    <w:unhideWhenUsed/>
    <w:qFormat/>
    <w:rsid w:val="00256FE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256FEF"/>
    <w:pPr>
      <w:widowControl w:val="0"/>
      <w:autoSpaceDE w:val="0"/>
      <w:autoSpaceDN w:val="0"/>
      <w:spacing w:before="0"/>
      <w:jc w:val="left"/>
    </w:pPr>
    <w:rPr>
      <w:rFonts w:ascii="Times New Roman" w:eastAsia="Times New Roman" w:hAnsi="Times New Roman"/>
      <w:sz w:val="19"/>
      <w:szCs w:val="19"/>
      <w:lang w:val="en-US"/>
    </w:rPr>
  </w:style>
  <w:style w:type="character" w:customStyle="1" w:styleId="CorpsdetexteCar">
    <w:name w:val="Corps de texte Car"/>
    <w:basedOn w:val="Policepardfaut"/>
    <w:link w:val="Corpsdetexte"/>
    <w:uiPriority w:val="1"/>
    <w:rsid w:val="00256FEF"/>
    <w:rPr>
      <w:rFonts w:ascii="Times New Roman" w:eastAsia="Times New Roman" w:hAnsi="Times New Roman"/>
      <w:sz w:val="19"/>
      <w:szCs w:val="19"/>
      <w:lang w:val="en-US" w:eastAsia="en-US"/>
    </w:rPr>
  </w:style>
  <w:style w:type="paragraph" w:styleId="Paragraphedeliste">
    <w:name w:val="List Paragraph"/>
    <w:basedOn w:val="Normal"/>
    <w:uiPriority w:val="34"/>
    <w:qFormat/>
    <w:rsid w:val="00256FEF"/>
    <w:pPr>
      <w:widowControl w:val="0"/>
      <w:autoSpaceDE w:val="0"/>
      <w:autoSpaceDN w:val="0"/>
      <w:spacing w:before="98"/>
      <w:ind w:left="748" w:hanging="298"/>
      <w:jc w:val="left"/>
    </w:pPr>
    <w:rPr>
      <w:rFonts w:ascii="Times New Roman" w:eastAsia="Times New Roman" w:hAnsi="Times New Roman"/>
      <w:u w:val="single" w:color="000000"/>
      <w:lang w:val="en-US"/>
    </w:rPr>
  </w:style>
  <w:style w:type="paragraph" w:customStyle="1" w:styleId="TableParagraph">
    <w:name w:val="Table Paragraph"/>
    <w:basedOn w:val="Normal"/>
    <w:uiPriority w:val="1"/>
    <w:qFormat/>
    <w:rsid w:val="00256FEF"/>
    <w:pPr>
      <w:widowControl w:val="0"/>
      <w:autoSpaceDE w:val="0"/>
      <w:autoSpaceDN w:val="0"/>
      <w:spacing w:before="0"/>
      <w:jc w:val="left"/>
    </w:pPr>
    <w:rPr>
      <w:rFonts w:ascii="Times New Roman" w:eastAsia="Times New Roman" w:hAnsi="Times New Roman"/>
      <w:lang w:val="en-US"/>
    </w:rPr>
  </w:style>
  <w:style w:type="character" w:styleId="Marquedecommentaire">
    <w:name w:val="annotation reference"/>
    <w:basedOn w:val="Policepardfaut"/>
    <w:uiPriority w:val="99"/>
    <w:semiHidden/>
    <w:unhideWhenUsed/>
    <w:rsid w:val="00D31429"/>
    <w:rPr>
      <w:sz w:val="16"/>
      <w:szCs w:val="16"/>
    </w:rPr>
  </w:style>
  <w:style w:type="paragraph" w:styleId="Commentaire">
    <w:name w:val="annotation text"/>
    <w:basedOn w:val="Normal"/>
    <w:link w:val="CommentaireCar"/>
    <w:uiPriority w:val="99"/>
    <w:semiHidden/>
    <w:unhideWhenUsed/>
    <w:rsid w:val="00D31429"/>
    <w:rPr>
      <w:sz w:val="20"/>
      <w:szCs w:val="20"/>
    </w:rPr>
  </w:style>
  <w:style w:type="character" w:customStyle="1" w:styleId="CommentaireCar">
    <w:name w:val="Commentaire Car"/>
    <w:basedOn w:val="Policepardfaut"/>
    <w:link w:val="Commentaire"/>
    <w:uiPriority w:val="99"/>
    <w:semiHidden/>
    <w:rsid w:val="00D31429"/>
    <w:rPr>
      <w:lang w:eastAsia="en-US"/>
    </w:rPr>
  </w:style>
  <w:style w:type="paragraph" w:styleId="Objetducommentaire">
    <w:name w:val="annotation subject"/>
    <w:basedOn w:val="Commentaire"/>
    <w:next w:val="Commentaire"/>
    <w:link w:val="ObjetducommentaireCar"/>
    <w:uiPriority w:val="99"/>
    <w:semiHidden/>
    <w:unhideWhenUsed/>
    <w:rsid w:val="00D31429"/>
    <w:rPr>
      <w:b/>
      <w:bCs/>
    </w:rPr>
  </w:style>
  <w:style w:type="character" w:customStyle="1" w:styleId="ObjetducommentaireCar">
    <w:name w:val="Objet du commentaire Car"/>
    <w:basedOn w:val="CommentaireCar"/>
    <w:link w:val="Objetducommentaire"/>
    <w:uiPriority w:val="99"/>
    <w:semiHidden/>
    <w:rsid w:val="00D3142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75905">
      <w:bodyDiv w:val="1"/>
      <w:marLeft w:val="0"/>
      <w:marRight w:val="0"/>
      <w:marTop w:val="0"/>
      <w:marBottom w:val="0"/>
      <w:divBdr>
        <w:top w:val="none" w:sz="0" w:space="0" w:color="auto"/>
        <w:left w:val="none" w:sz="0" w:space="0" w:color="auto"/>
        <w:bottom w:val="none" w:sz="0" w:space="0" w:color="auto"/>
        <w:right w:val="none" w:sz="0" w:space="0" w:color="auto"/>
      </w:divBdr>
    </w:div>
    <w:div w:id="832065067">
      <w:bodyDiv w:val="1"/>
      <w:marLeft w:val="0"/>
      <w:marRight w:val="0"/>
      <w:marTop w:val="0"/>
      <w:marBottom w:val="0"/>
      <w:divBdr>
        <w:top w:val="none" w:sz="0" w:space="0" w:color="auto"/>
        <w:left w:val="none" w:sz="0" w:space="0" w:color="auto"/>
        <w:bottom w:val="none" w:sz="0" w:space="0" w:color="auto"/>
        <w:right w:val="none" w:sz="0" w:space="0" w:color="auto"/>
      </w:divBdr>
    </w:div>
    <w:div w:id="1001394036">
      <w:bodyDiv w:val="1"/>
      <w:marLeft w:val="0"/>
      <w:marRight w:val="0"/>
      <w:marTop w:val="0"/>
      <w:marBottom w:val="0"/>
      <w:divBdr>
        <w:top w:val="none" w:sz="0" w:space="0" w:color="auto"/>
        <w:left w:val="none" w:sz="0" w:space="0" w:color="auto"/>
        <w:bottom w:val="none" w:sz="0" w:space="0" w:color="auto"/>
        <w:right w:val="none" w:sz="0" w:space="0" w:color="auto"/>
      </w:divBdr>
    </w:div>
    <w:div w:id="1785684460">
      <w:bodyDiv w:val="1"/>
      <w:marLeft w:val="0"/>
      <w:marRight w:val="0"/>
      <w:marTop w:val="0"/>
      <w:marBottom w:val="0"/>
      <w:divBdr>
        <w:top w:val="none" w:sz="0" w:space="0" w:color="auto"/>
        <w:left w:val="none" w:sz="0" w:space="0" w:color="auto"/>
        <w:bottom w:val="none" w:sz="0" w:space="0" w:color="auto"/>
        <w:right w:val="none" w:sz="0" w:space="0" w:color="auto"/>
      </w:divBdr>
    </w:div>
    <w:div w:id="1901553491">
      <w:bodyDiv w:val="1"/>
      <w:marLeft w:val="0"/>
      <w:marRight w:val="0"/>
      <w:marTop w:val="0"/>
      <w:marBottom w:val="0"/>
      <w:divBdr>
        <w:top w:val="none" w:sz="0" w:space="0" w:color="auto"/>
        <w:left w:val="none" w:sz="0" w:space="0" w:color="auto"/>
        <w:bottom w:val="none" w:sz="0" w:space="0" w:color="auto"/>
        <w:right w:val="none" w:sz="0" w:space="0" w:color="auto"/>
      </w:divBdr>
    </w:div>
    <w:div w:id="202594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1F82E-EC70-4B3A-AE31-68C1AD25D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1146</Words>
  <Characters>6304</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CNAMTS</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Cnam</dc:creator>
  <cp:lastModifiedBy>VOROS, Magali (DSS/SD1 FINANCEMENT DU SYSTEME DE SOINS/MGRMC)</cp:lastModifiedBy>
  <cp:revision>7</cp:revision>
  <cp:lastPrinted>2019-09-03T17:16:00Z</cp:lastPrinted>
  <dcterms:created xsi:type="dcterms:W3CDTF">2019-11-15T18:58:00Z</dcterms:created>
  <dcterms:modified xsi:type="dcterms:W3CDTF">2020-01-27T17:00:00Z</dcterms:modified>
</cp:coreProperties>
</file>