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09" w:rsidRPr="004B209D" w:rsidRDefault="00D479D8" w:rsidP="004B209D">
      <w:pPr>
        <w:jc w:val="center"/>
        <w:rPr>
          <w:b/>
          <w:sz w:val="20"/>
        </w:rPr>
      </w:pPr>
      <w:r w:rsidRPr="004B209D">
        <w:rPr>
          <w:b/>
          <w:sz w:val="20"/>
        </w:rPr>
        <w:t>Fiche indicateur CAQES</w:t>
      </w:r>
      <w:r w:rsidR="00681A81" w:rsidRPr="004B209D">
        <w:rPr>
          <w:b/>
          <w:sz w:val="20"/>
        </w:rPr>
        <w:t> : taux de recours à l’ambulance</w:t>
      </w:r>
    </w:p>
    <w:p w:rsidR="00BD5100" w:rsidRPr="004B209D" w:rsidRDefault="00F31FA0" w:rsidP="00133685">
      <w:pPr>
        <w:jc w:val="center"/>
        <w:rPr>
          <w:sz w:val="20"/>
        </w:rPr>
      </w:pPr>
      <w:r>
        <w:rPr>
          <w:sz w:val="20"/>
        </w:rPr>
        <w:pict>
          <v:rect id="_x0000_i1025" style="width:453.5pt;height:1.5pt" o:hralign="center" o:hrstd="t" o:hrnoshade="t" o:hr="t" fillcolor="#1f497d [3215]" stroked="f"/>
        </w:pict>
      </w:r>
    </w:p>
    <w:p w:rsidR="00782DCC" w:rsidRPr="004B209D" w:rsidRDefault="00782DCC" w:rsidP="00782DCC">
      <w:pPr>
        <w:rPr>
          <w:b/>
          <w:sz w:val="20"/>
        </w:rPr>
      </w:pPr>
      <w:r w:rsidRPr="004B209D">
        <w:rPr>
          <w:b/>
          <w:sz w:val="20"/>
        </w:rPr>
        <w:t xml:space="preserve">1/ Contexte </w:t>
      </w:r>
    </w:p>
    <w:p w:rsidR="007533A7" w:rsidRPr="004B209D" w:rsidRDefault="00205D65" w:rsidP="007533A7">
      <w:pPr>
        <w:jc w:val="both"/>
        <w:rPr>
          <w:sz w:val="20"/>
        </w:rPr>
      </w:pPr>
      <w:r w:rsidRPr="004B209D">
        <w:rPr>
          <w:sz w:val="20"/>
        </w:rPr>
        <w:t>L’objectif est d’améliorer la pertinence des prescripti</w:t>
      </w:r>
      <w:r w:rsidR="00B03CF0" w:rsidRPr="004B209D">
        <w:rPr>
          <w:sz w:val="20"/>
        </w:rPr>
        <w:t>ons des professionnels de santé</w:t>
      </w:r>
      <w:r w:rsidRPr="004B209D">
        <w:rPr>
          <w:sz w:val="20"/>
        </w:rPr>
        <w:t xml:space="preserve"> exerçant en établissement</w:t>
      </w:r>
      <w:r w:rsidR="00805F57" w:rsidRPr="004B209D">
        <w:rPr>
          <w:sz w:val="20"/>
        </w:rPr>
        <w:t>,</w:t>
      </w:r>
      <w:r w:rsidRPr="004B209D">
        <w:rPr>
          <w:sz w:val="20"/>
        </w:rPr>
        <w:t xml:space="preserve"> dans le choix du mode de transport le plus adapté à l’état de santé des patients</w:t>
      </w:r>
      <w:r w:rsidR="00BD5100" w:rsidRPr="004B209D">
        <w:rPr>
          <w:sz w:val="20"/>
        </w:rPr>
        <w:t>.</w:t>
      </w:r>
      <w:r w:rsidRPr="004B209D">
        <w:rPr>
          <w:sz w:val="20"/>
        </w:rPr>
        <w:t xml:space="preserve"> </w:t>
      </w:r>
      <w:r w:rsidR="007533A7" w:rsidRPr="004B209D">
        <w:rPr>
          <w:sz w:val="20"/>
        </w:rPr>
        <w:t>Le CAQES constitue une priorité nationale compte tenu des enjeux concernant notamment la maitrise des dépenses et la pertinence des prescriptions de transports</w:t>
      </w:r>
      <w:r w:rsidR="00281405" w:rsidRPr="004B209D">
        <w:rPr>
          <w:sz w:val="20"/>
        </w:rPr>
        <w:t xml:space="preserve"> </w:t>
      </w:r>
      <w:r w:rsidR="001675D1" w:rsidRPr="004B209D">
        <w:rPr>
          <w:sz w:val="20"/>
        </w:rPr>
        <w:t xml:space="preserve">hospitalières prises en charge sur l’enveloppe de soins de ville </w:t>
      </w:r>
      <w:r w:rsidR="00281405" w:rsidRPr="004B209D">
        <w:rPr>
          <w:sz w:val="20"/>
        </w:rPr>
        <w:t xml:space="preserve">et a ainsi comme perspective </w:t>
      </w:r>
      <w:r w:rsidR="007533A7" w:rsidRPr="004B209D">
        <w:rPr>
          <w:sz w:val="20"/>
        </w:rPr>
        <w:t>de favoriser la contractualisation avec un nombre plus important d’établissements ciblés au regard du volume ou de la progression de dépenses de transports.</w:t>
      </w:r>
    </w:p>
    <w:p w:rsidR="00B03CF0" w:rsidRPr="004B209D" w:rsidRDefault="00B03CF0" w:rsidP="00B03CF0">
      <w:pPr>
        <w:jc w:val="both"/>
        <w:rPr>
          <w:sz w:val="20"/>
        </w:rPr>
      </w:pPr>
      <w:r w:rsidRPr="004B209D">
        <w:rPr>
          <w:sz w:val="20"/>
        </w:rPr>
        <w:t xml:space="preserve">La prescription de transport est un acte médical. Le médecin prescripteur doit s’appuyer sur le référentiel de prescription médicale de transport, publié par arrêté du 23 décembre 2006 – J.O du 30.12.2006 prévu à l’article R 322.10 du CSS. Celui-ci précise tous les éléments d’incapacité ou de déficience en lien avec l’état de santé du patient orientant sur le mode de transport adéquat. </w:t>
      </w:r>
    </w:p>
    <w:p w:rsidR="00FD621D" w:rsidRPr="004B209D" w:rsidRDefault="00B03CF0" w:rsidP="00FD621D">
      <w:pPr>
        <w:jc w:val="both"/>
        <w:rPr>
          <w:sz w:val="20"/>
        </w:rPr>
      </w:pPr>
      <w:r w:rsidRPr="004B209D">
        <w:rPr>
          <w:sz w:val="20"/>
        </w:rPr>
        <w:t xml:space="preserve">L’ambulance est </w:t>
      </w:r>
      <w:r w:rsidR="00FD621D" w:rsidRPr="004B209D">
        <w:rPr>
          <w:sz w:val="20"/>
        </w:rPr>
        <w:t>indiquée</w:t>
      </w:r>
      <w:r w:rsidRPr="004B209D">
        <w:rPr>
          <w:sz w:val="20"/>
        </w:rPr>
        <w:t xml:space="preserve"> pour les patients nécessitant</w:t>
      </w:r>
      <w:r w:rsidR="00805F57" w:rsidRPr="004B209D">
        <w:rPr>
          <w:sz w:val="20"/>
        </w:rPr>
        <w:t xml:space="preserve"> un transport obligatoirement en</w:t>
      </w:r>
      <w:r w:rsidRPr="004B209D">
        <w:rPr>
          <w:sz w:val="20"/>
        </w:rPr>
        <w:t xml:space="preserve"> position allongée ou </w:t>
      </w:r>
      <w:r w:rsidR="00805F57" w:rsidRPr="004B209D">
        <w:rPr>
          <w:sz w:val="20"/>
        </w:rPr>
        <w:t>demi-</w:t>
      </w:r>
      <w:r w:rsidR="00C2538A" w:rsidRPr="004B209D">
        <w:rPr>
          <w:sz w:val="20"/>
        </w:rPr>
        <w:t>assise,</w:t>
      </w:r>
      <w:r w:rsidRPr="004B209D">
        <w:rPr>
          <w:sz w:val="20"/>
        </w:rPr>
        <w:t xml:space="preserve"> </w:t>
      </w:r>
      <w:r w:rsidR="00805F57" w:rsidRPr="004B209D">
        <w:rPr>
          <w:sz w:val="20"/>
        </w:rPr>
        <w:t>avec</w:t>
      </w:r>
      <w:r w:rsidR="00E6308F" w:rsidRPr="004B209D">
        <w:rPr>
          <w:sz w:val="20"/>
        </w:rPr>
        <w:t xml:space="preserve"> brancardage ou</w:t>
      </w:r>
      <w:r w:rsidRPr="004B209D">
        <w:rPr>
          <w:sz w:val="20"/>
        </w:rPr>
        <w:t xml:space="preserve"> portage</w:t>
      </w:r>
      <w:r w:rsidR="00FD621D" w:rsidRPr="004B209D">
        <w:rPr>
          <w:sz w:val="20"/>
        </w:rPr>
        <w:t xml:space="preserve">, </w:t>
      </w:r>
      <w:r w:rsidR="00805F57" w:rsidRPr="004B209D">
        <w:rPr>
          <w:sz w:val="20"/>
        </w:rPr>
        <w:t xml:space="preserve">une </w:t>
      </w:r>
      <w:r w:rsidR="00FD621D" w:rsidRPr="004B209D">
        <w:rPr>
          <w:sz w:val="20"/>
        </w:rPr>
        <w:t>surveillance par une personne qualifiée ou</w:t>
      </w:r>
      <w:r w:rsidR="00805F57" w:rsidRPr="004B209D">
        <w:rPr>
          <w:sz w:val="20"/>
        </w:rPr>
        <w:t xml:space="preserve"> nécessitant l’administration d’oxygène</w:t>
      </w:r>
      <w:r w:rsidR="00FD621D" w:rsidRPr="004B209D">
        <w:rPr>
          <w:sz w:val="20"/>
        </w:rPr>
        <w:t xml:space="preserve"> </w:t>
      </w:r>
      <w:r w:rsidR="00805F57" w:rsidRPr="004B209D">
        <w:rPr>
          <w:sz w:val="20"/>
        </w:rPr>
        <w:t xml:space="preserve">ou un </w:t>
      </w:r>
      <w:r w:rsidR="00FD621D" w:rsidRPr="004B209D">
        <w:rPr>
          <w:sz w:val="20"/>
        </w:rPr>
        <w:t>transport devant être réalisé dans des conditions d’asepsie.</w:t>
      </w:r>
      <w:r w:rsidRPr="004B209D">
        <w:rPr>
          <w:sz w:val="20"/>
        </w:rPr>
        <w:t xml:space="preserve"> L’appropriation de cette réglementation est essentielle pour convaincre le prescripteur d’exercer la prescription sur la base de bonnes pratiques en limitant le recours à l’ambulance</w:t>
      </w:r>
      <w:r w:rsidR="00FD621D" w:rsidRPr="004B209D">
        <w:rPr>
          <w:sz w:val="20"/>
        </w:rPr>
        <w:t xml:space="preserve"> injustifié</w:t>
      </w:r>
      <w:r w:rsidRPr="004B209D">
        <w:rPr>
          <w:sz w:val="20"/>
        </w:rPr>
        <w:t xml:space="preserve">. En effet, l’ambulance constitue </w:t>
      </w:r>
      <w:r w:rsidR="0020385A" w:rsidRPr="004B209D">
        <w:rPr>
          <w:sz w:val="20"/>
        </w:rPr>
        <w:t>à elle</w:t>
      </w:r>
      <w:r w:rsidRPr="004B209D">
        <w:rPr>
          <w:sz w:val="20"/>
        </w:rPr>
        <w:t xml:space="preserve"> seul un critère de prise en charge et peut conduire à des atypies d’indications</w:t>
      </w:r>
      <w:r w:rsidR="0020385A" w:rsidRPr="004B209D">
        <w:rPr>
          <w:sz w:val="20"/>
        </w:rPr>
        <w:t xml:space="preserve"> pour des patients sans autre critère autorisant le remboursement d’un transport</w:t>
      </w:r>
      <w:r w:rsidRPr="004B209D">
        <w:rPr>
          <w:sz w:val="20"/>
        </w:rPr>
        <w:t xml:space="preserve">. </w:t>
      </w:r>
      <w:r w:rsidR="00FD621D" w:rsidRPr="004B209D">
        <w:rPr>
          <w:sz w:val="20"/>
        </w:rPr>
        <w:t>Pour mémoire, en 2018, le coût moyen d’un trajet en ambulance est de 98€, 53€ pour le taxi, 33€ pour le VSL et 17€</w:t>
      </w:r>
      <w:r w:rsidR="00FD621D" w:rsidRPr="004B209D">
        <w:rPr>
          <w:rStyle w:val="Appelnotedebasdep"/>
          <w:sz w:val="20"/>
        </w:rPr>
        <w:footnoteReference w:id="1"/>
      </w:r>
      <w:r w:rsidR="00FD621D" w:rsidRPr="004B209D">
        <w:rPr>
          <w:sz w:val="20"/>
        </w:rPr>
        <w:t xml:space="preserve"> pour le véhicule personnel. </w:t>
      </w:r>
      <w:r w:rsidR="00E6308F" w:rsidRPr="004B209D">
        <w:rPr>
          <w:sz w:val="20"/>
        </w:rPr>
        <w:t xml:space="preserve">Proposer la substitution </w:t>
      </w:r>
      <w:r w:rsidR="00FF777D" w:rsidRPr="004B209D">
        <w:rPr>
          <w:sz w:val="20"/>
        </w:rPr>
        <w:t xml:space="preserve">quand elle est possible </w:t>
      </w:r>
      <w:r w:rsidR="00E6308F" w:rsidRPr="004B209D">
        <w:rPr>
          <w:sz w:val="20"/>
        </w:rPr>
        <w:t>vers le transport assis professionnalisés (TAP</w:t>
      </w:r>
      <w:r w:rsidR="00D84E01" w:rsidRPr="004B209D">
        <w:rPr>
          <w:sz w:val="20"/>
        </w:rPr>
        <w:t xml:space="preserve"> –VSL ou Taxi</w:t>
      </w:r>
      <w:r w:rsidR="00E6308F" w:rsidRPr="004B209D">
        <w:rPr>
          <w:sz w:val="20"/>
        </w:rPr>
        <w:t>)</w:t>
      </w:r>
      <w:r w:rsidRPr="004B209D">
        <w:rPr>
          <w:sz w:val="20"/>
        </w:rPr>
        <w:t xml:space="preserve"> </w:t>
      </w:r>
      <w:r w:rsidR="00E6308F" w:rsidRPr="004B209D">
        <w:rPr>
          <w:sz w:val="20"/>
        </w:rPr>
        <w:t>aux</w:t>
      </w:r>
      <w:r w:rsidRPr="004B209D">
        <w:rPr>
          <w:sz w:val="20"/>
        </w:rPr>
        <w:t xml:space="preserve"> médecins de l’établissement permet de limiter ainsi les dépe</w:t>
      </w:r>
      <w:r w:rsidR="0020385A" w:rsidRPr="004B209D">
        <w:rPr>
          <w:sz w:val="20"/>
        </w:rPr>
        <w:t>nses</w:t>
      </w:r>
      <w:r w:rsidRPr="004B209D">
        <w:rPr>
          <w:sz w:val="20"/>
        </w:rPr>
        <w:t xml:space="preserve"> de transport eu égard au poids des prescriptions hospitalières dans ce domaine </w:t>
      </w:r>
      <w:r w:rsidR="008D27A1" w:rsidRPr="004B209D">
        <w:rPr>
          <w:sz w:val="20"/>
        </w:rPr>
        <w:t>(62% en 2018 soit</w:t>
      </w:r>
      <w:r w:rsidR="00EA5DFF" w:rsidRPr="004B209D">
        <w:rPr>
          <w:sz w:val="20"/>
        </w:rPr>
        <w:t xml:space="preserve"> 2,9 Mds d’€ </w:t>
      </w:r>
      <w:r w:rsidR="008D27A1" w:rsidRPr="004B209D">
        <w:rPr>
          <w:sz w:val="20"/>
        </w:rPr>
        <w:t>en hausse de 4,2% par an en moyenne depuis 2013 contre 3,3% pour les prescriptions de ville).</w:t>
      </w:r>
    </w:p>
    <w:p w:rsidR="00B03CF0" w:rsidRPr="004B209D" w:rsidRDefault="00B03CF0" w:rsidP="00B03CF0">
      <w:pPr>
        <w:jc w:val="both"/>
        <w:rPr>
          <w:sz w:val="20"/>
        </w:rPr>
      </w:pPr>
      <w:r w:rsidRPr="004B209D">
        <w:rPr>
          <w:sz w:val="20"/>
        </w:rPr>
        <w:t xml:space="preserve">Les pathologies justifiant un recours fréquent aux transports en ambulance sont le plus souvent lourdes et sévères (pathologies neurologiques, insuffisance rénale chronique…). Le médecin </w:t>
      </w:r>
      <w:r w:rsidR="00FD621D" w:rsidRPr="004B209D">
        <w:rPr>
          <w:sz w:val="20"/>
        </w:rPr>
        <w:t xml:space="preserve">prescripteur </w:t>
      </w:r>
      <w:r w:rsidRPr="004B209D">
        <w:rPr>
          <w:sz w:val="20"/>
        </w:rPr>
        <w:t>s’appuiera pour apprécier le mode de transport le plus adapté, sur</w:t>
      </w:r>
      <w:r w:rsidR="00FD621D" w:rsidRPr="004B209D">
        <w:rPr>
          <w:sz w:val="20"/>
        </w:rPr>
        <w:t xml:space="preserve"> des critères médicaux inscrits </w:t>
      </w:r>
      <w:r w:rsidRPr="004B209D">
        <w:rPr>
          <w:sz w:val="20"/>
        </w:rPr>
        <w:t xml:space="preserve">dans le dossier patient ou auprès du </w:t>
      </w:r>
      <w:r w:rsidR="00FD621D" w:rsidRPr="004B209D">
        <w:rPr>
          <w:sz w:val="20"/>
        </w:rPr>
        <w:t xml:space="preserve">médecin traitant, </w:t>
      </w:r>
      <w:r w:rsidRPr="004B209D">
        <w:rPr>
          <w:sz w:val="20"/>
        </w:rPr>
        <w:t>tels que troubles cognitifs, périmètre de marche, stade de la dyspnée, besoin d’appareillage, appui humain…etc. Un patient porteur de handicap sévère et bénéficiaire d’</w:t>
      </w:r>
      <w:r w:rsidR="00FD621D" w:rsidRPr="004B209D">
        <w:rPr>
          <w:sz w:val="20"/>
        </w:rPr>
        <w:t>un mode de transport adapté doit être</w:t>
      </w:r>
      <w:r w:rsidRPr="004B209D">
        <w:rPr>
          <w:sz w:val="20"/>
        </w:rPr>
        <w:t xml:space="preserve"> conforté dans sa prise en charge.</w:t>
      </w:r>
      <w:r w:rsidR="00BD5100" w:rsidRPr="004B209D">
        <w:rPr>
          <w:sz w:val="20"/>
        </w:rPr>
        <w:t xml:space="preserve"> Les patients souffrant d’une affection de longue durée sont à l’origine</w:t>
      </w:r>
      <w:r w:rsidR="00681A81" w:rsidRPr="004B209D">
        <w:rPr>
          <w:sz w:val="20"/>
        </w:rPr>
        <w:t>, en 2015,</w:t>
      </w:r>
      <w:r w:rsidR="00B02510" w:rsidRPr="004B209D">
        <w:rPr>
          <w:sz w:val="20"/>
        </w:rPr>
        <w:t xml:space="preserve"> de 80</w:t>
      </w:r>
      <w:r w:rsidR="00BD5100" w:rsidRPr="004B209D">
        <w:rPr>
          <w:sz w:val="20"/>
        </w:rPr>
        <w:t xml:space="preserve">% des dépenses de transports en particulier les patients </w:t>
      </w:r>
      <w:r w:rsidR="00681A81" w:rsidRPr="004B209D">
        <w:rPr>
          <w:sz w:val="20"/>
        </w:rPr>
        <w:t xml:space="preserve">atteints de cancer (22% des dépenses de transports), </w:t>
      </w:r>
      <w:r w:rsidR="00BD5100" w:rsidRPr="004B209D">
        <w:rPr>
          <w:sz w:val="20"/>
        </w:rPr>
        <w:t>dialysés (</w:t>
      </w:r>
      <w:r w:rsidR="00681A81" w:rsidRPr="004B209D">
        <w:rPr>
          <w:sz w:val="20"/>
        </w:rPr>
        <w:t>17</w:t>
      </w:r>
      <w:r w:rsidR="00BD5100" w:rsidRPr="004B209D">
        <w:rPr>
          <w:sz w:val="20"/>
        </w:rPr>
        <w:t>%), de pathologies</w:t>
      </w:r>
      <w:r w:rsidR="00681A81" w:rsidRPr="004B209D">
        <w:rPr>
          <w:sz w:val="20"/>
        </w:rPr>
        <w:t xml:space="preserve"> cardio-vasculaire (13%) ou  bien encore</w:t>
      </w:r>
      <w:r w:rsidR="00BD5100" w:rsidRPr="004B209D">
        <w:rPr>
          <w:sz w:val="20"/>
        </w:rPr>
        <w:t xml:space="preserve"> psychiatriques (</w:t>
      </w:r>
      <w:r w:rsidR="00681A81" w:rsidRPr="004B209D">
        <w:rPr>
          <w:sz w:val="20"/>
        </w:rPr>
        <w:t>11</w:t>
      </w:r>
      <w:r w:rsidR="00BD5100" w:rsidRPr="004B209D">
        <w:rPr>
          <w:sz w:val="20"/>
        </w:rPr>
        <w:t xml:space="preserve">%). </w:t>
      </w:r>
    </w:p>
    <w:p w:rsidR="00133685" w:rsidRPr="004B209D" w:rsidRDefault="00EA5DFF" w:rsidP="00EA5DFF">
      <w:pPr>
        <w:tabs>
          <w:tab w:val="num" w:pos="720"/>
          <w:tab w:val="num" w:pos="1440"/>
        </w:tabs>
        <w:jc w:val="both"/>
        <w:rPr>
          <w:sz w:val="20"/>
        </w:rPr>
      </w:pPr>
      <w:r w:rsidRPr="004B209D">
        <w:rPr>
          <w:sz w:val="20"/>
        </w:rPr>
        <w:t xml:space="preserve">Le rapport Charges et Produits pour 2014 a mis en avant un mésusage de l’indication médicale de l’ambulance notamment en faisant le </w:t>
      </w:r>
      <w:r w:rsidR="00133685" w:rsidRPr="004B209D">
        <w:rPr>
          <w:sz w:val="20"/>
        </w:rPr>
        <w:t>constat de disparités territoriales dans le recours aux transports dont on ne connaît</w:t>
      </w:r>
      <w:r w:rsidRPr="004B209D">
        <w:rPr>
          <w:sz w:val="20"/>
        </w:rPr>
        <w:t xml:space="preserve"> cependant</w:t>
      </w:r>
      <w:r w:rsidR="00133685" w:rsidRPr="004B209D">
        <w:rPr>
          <w:sz w:val="20"/>
        </w:rPr>
        <w:t xml:space="preserve"> pas tous les déterminants</w:t>
      </w:r>
      <w:r w:rsidRPr="004B209D">
        <w:rPr>
          <w:sz w:val="20"/>
        </w:rPr>
        <w:t xml:space="preserve"> (</w:t>
      </w:r>
      <w:r w:rsidR="00133685" w:rsidRPr="004B209D">
        <w:rPr>
          <w:sz w:val="20"/>
        </w:rPr>
        <w:t>le recours exclusif à l’ambulance varie de 0 à 40%</w:t>
      </w:r>
      <w:r w:rsidRPr="004B209D">
        <w:rPr>
          <w:sz w:val="20"/>
        </w:rPr>
        <w:t xml:space="preserve"> pour les patients dialysés). De plus, le rapport indique que la part des patients</w:t>
      </w:r>
      <w:r w:rsidR="00BD5100" w:rsidRPr="004B209D">
        <w:rPr>
          <w:sz w:val="20"/>
        </w:rPr>
        <w:t xml:space="preserve"> hémodialysés</w:t>
      </w:r>
      <w:r w:rsidRPr="004B209D">
        <w:rPr>
          <w:sz w:val="20"/>
        </w:rPr>
        <w:t xml:space="preserve"> transportés au moins une fois en ambulance en 2012 est de 53 % au plan national mais que cette part varie de 22 % pour les Hautes-Alpes à 76 </w:t>
      </w:r>
      <w:r w:rsidRPr="004B209D">
        <w:rPr>
          <w:sz w:val="20"/>
        </w:rPr>
        <w:lastRenderedPageBreak/>
        <w:t xml:space="preserve">% pour le Val-de-Marne montrant ainsi de fortes disparités de prescription </w:t>
      </w:r>
      <w:r w:rsidR="0020385A" w:rsidRPr="004B209D">
        <w:rPr>
          <w:sz w:val="20"/>
        </w:rPr>
        <w:t>qui se</w:t>
      </w:r>
      <w:r w:rsidRPr="004B209D">
        <w:rPr>
          <w:sz w:val="20"/>
        </w:rPr>
        <w:t xml:space="preserve"> traduis</w:t>
      </w:r>
      <w:r w:rsidR="0020385A" w:rsidRPr="004B209D">
        <w:rPr>
          <w:sz w:val="20"/>
        </w:rPr>
        <w:t>e</w:t>
      </w:r>
      <w:r w:rsidRPr="004B209D">
        <w:rPr>
          <w:sz w:val="20"/>
        </w:rPr>
        <w:t xml:space="preserve">nt par une forte disparité </w:t>
      </w:r>
      <w:r w:rsidR="00BD5100" w:rsidRPr="004B209D">
        <w:rPr>
          <w:sz w:val="20"/>
        </w:rPr>
        <w:t>sur</w:t>
      </w:r>
      <w:r w:rsidRPr="004B209D">
        <w:rPr>
          <w:sz w:val="20"/>
        </w:rPr>
        <w:t xml:space="preserve"> </w:t>
      </w:r>
      <w:r w:rsidR="00BD5100" w:rsidRPr="004B209D">
        <w:rPr>
          <w:sz w:val="20"/>
        </w:rPr>
        <w:t xml:space="preserve">le </w:t>
      </w:r>
      <w:r w:rsidRPr="004B209D">
        <w:rPr>
          <w:sz w:val="20"/>
        </w:rPr>
        <w:t>coût</w:t>
      </w:r>
      <w:r w:rsidR="00BD5100" w:rsidRPr="004B209D">
        <w:rPr>
          <w:sz w:val="20"/>
        </w:rPr>
        <w:t xml:space="preserve"> annuel moyen</w:t>
      </w:r>
      <w:r w:rsidRPr="004B209D">
        <w:rPr>
          <w:sz w:val="20"/>
        </w:rPr>
        <w:t xml:space="preserve"> (2170</w:t>
      </w:r>
      <w:r w:rsidR="00EA58C9" w:rsidRPr="004B209D">
        <w:rPr>
          <w:sz w:val="20"/>
        </w:rPr>
        <w:t>€</w:t>
      </w:r>
      <w:r w:rsidRPr="004B209D">
        <w:rPr>
          <w:sz w:val="20"/>
        </w:rPr>
        <w:t xml:space="preserve"> à 16570€ </w:t>
      </w:r>
      <w:r w:rsidR="00BD5100" w:rsidRPr="004B209D">
        <w:rPr>
          <w:sz w:val="20"/>
        </w:rPr>
        <w:t>respectivement pour les 2 départements).</w:t>
      </w:r>
    </w:p>
    <w:p w:rsidR="00D84E01" w:rsidRPr="004B209D" w:rsidRDefault="0020385A" w:rsidP="00281405">
      <w:pPr>
        <w:jc w:val="both"/>
        <w:rPr>
          <w:sz w:val="20"/>
        </w:rPr>
      </w:pPr>
      <w:r w:rsidRPr="004B209D">
        <w:rPr>
          <w:sz w:val="20"/>
        </w:rPr>
        <w:t>Ainsi</w:t>
      </w:r>
      <w:r w:rsidR="00281405" w:rsidRPr="004B209D">
        <w:rPr>
          <w:sz w:val="20"/>
        </w:rPr>
        <w:t>, ces</w:t>
      </w:r>
      <w:r w:rsidR="00BD5100" w:rsidRPr="004B209D">
        <w:rPr>
          <w:sz w:val="20"/>
        </w:rPr>
        <w:t xml:space="preserve"> disparité</w:t>
      </w:r>
      <w:r w:rsidR="00281405" w:rsidRPr="004B209D">
        <w:rPr>
          <w:sz w:val="20"/>
        </w:rPr>
        <w:t>s</w:t>
      </w:r>
      <w:r w:rsidR="00BD5100" w:rsidRPr="004B209D">
        <w:rPr>
          <w:sz w:val="20"/>
        </w:rPr>
        <w:t xml:space="preserve"> repose</w:t>
      </w:r>
      <w:r w:rsidR="00281405" w:rsidRPr="004B209D">
        <w:rPr>
          <w:sz w:val="20"/>
        </w:rPr>
        <w:t xml:space="preserve">nt </w:t>
      </w:r>
      <w:r w:rsidR="00D84E01" w:rsidRPr="004B209D">
        <w:rPr>
          <w:sz w:val="20"/>
        </w:rPr>
        <w:t>sur des déterminants qui sont à analyser de manière plus fine auprès des établissements en fonction de leur contexte local, géographique, d’offre de soins (établissements et transporteurs), de l’existence population précaires et fragile et de critères sociaux économiques.</w:t>
      </w:r>
    </w:p>
    <w:p w:rsidR="00782DCC" w:rsidRPr="004B209D" w:rsidRDefault="00782DCC" w:rsidP="00281405">
      <w:pPr>
        <w:jc w:val="both"/>
        <w:rPr>
          <w:b/>
          <w:sz w:val="20"/>
        </w:rPr>
      </w:pPr>
      <w:r w:rsidRPr="004B209D">
        <w:rPr>
          <w:b/>
          <w:sz w:val="20"/>
        </w:rPr>
        <w:t>2/ L’indicateur</w:t>
      </w:r>
    </w:p>
    <w:p w:rsidR="00681A81" w:rsidRPr="004B209D" w:rsidRDefault="00673285" w:rsidP="00EA5DFF">
      <w:pPr>
        <w:jc w:val="both"/>
        <w:rPr>
          <w:sz w:val="20"/>
        </w:rPr>
      </w:pPr>
      <w:r w:rsidRPr="004B209D">
        <w:rPr>
          <w:sz w:val="20"/>
        </w:rPr>
        <w:t>L</w:t>
      </w:r>
      <w:r w:rsidR="00B03CF0" w:rsidRPr="004B209D">
        <w:rPr>
          <w:sz w:val="20"/>
        </w:rPr>
        <w:t>a création d’un indicateur visant à diminuer la prescription d’am</w:t>
      </w:r>
      <w:r w:rsidR="00BD5100" w:rsidRPr="004B209D">
        <w:rPr>
          <w:sz w:val="20"/>
        </w:rPr>
        <w:t xml:space="preserve">bulance, </w:t>
      </w:r>
      <w:r w:rsidR="00681A81" w:rsidRPr="004B209D">
        <w:rPr>
          <w:sz w:val="20"/>
        </w:rPr>
        <w:t>a</w:t>
      </w:r>
      <w:r w:rsidR="00BD5100" w:rsidRPr="004B209D">
        <w:rPr>
          <w:sz w:val="20"/>
        </w:rPr>
        <w:t>u</w:t>
      </w:r>
      <w:r w:rsidRPr="004B209D">
        <w:rPr>
          <w:sz w:val="20"/>
        </w:rPr>
        <w:t xml:space="preserve"> bénéfice</w:t>
      </w:r>
      <w:r w:rsidR="00681A81" w:rsidRPr="004B209D">
        <w:rPr>
          <w:sz w:val="20"/>
        </w:rPr>
        <w:t xml:space="preserve"> des transports assis professionnalisés</w:t>
      </w:r>
      <w:r w:rsidRPr="004B209D">
        <w:rPr>
          <w:sz w:val="20"/>
        </w:rPr>
        <w:t xml:space="preserve"> (TAP</w:t>
      </w:r>
      <w:r w:rsidR="00D84E01" w:rsidRPr="004B209D">
        <w:rPr>
          <w:sz w:val="20"/>
        </w:rPr>
        <w:t xml:space="preserve"> – VSL ou Taxi</w:t>
      </w:r>
      <w:r w:rsidRPr="004B209D">
        <w:rPr>
          <w:sz w:val="20"/>
        </w:rPr>
        <w:t>)</w:t>
      </w:r>
      <w:r w:rsidR="00681A81" w:rsidRPr="004B209D">
        <w:rPr>
          <w:sz w:val="20"/>
        </w:rPr>
        <w:t xml:space="preserve"> se justifie ainsi par la marge de progression possible sur une meilleure indication </w:t>
      </w:r>
      <w:r w:rsidRPr="004B209D">
        <w:rPr>
          <w:sz w:val="20"/>
        </w:rPr>
        <w:t xml:space="preserve">médicale </w:t>
      </w:r>
      <w:r w:rsidR="00681A81" w:rsidRPr="004B209D">
        <w:rPr>
          <w:sz w:val="20"/>
        </w:rPr>
        <w:t>du transport. La prise en compte du plus grand nombre de déterminants permettra d’avoir une action pédagogique auprès des prescripteurs en établissement</w:t>
      </w:r>
      <w:r w:rsidRPr="004B209D">
        <w:rPr>
          <w:sz w:val="20"/>
        </w:rPr>
        <w:t>. C</w:t>
      </w:r>
      <w:r w:rsidR="00681A81" w:rsidRPr="004B209D">
        <w:rPr>
          <w:sz w:val="20"/>
        </w:rPr>
        <w:t xml:space="preserve">ela passe par la connaissance des montants prescrits par structure et par mode de transports. </w:t>
      </w:r>
    </w:p>
    <w:p w:rsidR="00C2538A" w:rsidRPr="004B209D" w:rsidRDefault="00681A81" w:rsidP="00C2538A">
      <w:pPr>
        <w:jc w:val="both"/>
        <w:rPr>
          <w:b/>
          <w:sz w:val="20"/>
        </w:rPr>
      </w:pPr>
      <w:r w:rsidRPr="004B209D">
        <w:rPr>
          <w:b/>
          <w:sz w:val="20"/>
        </w:rPr>
        <w:t xml:space="preserve">L’indicateur retenu </w:t>
      </w:r>
      <w:r w:rsidR="0020385A" w:rsidRPr="004B209D">
        <w:rPr>
          <w:b/>
          <w:sz w:val="20"/>
        </w:rPr>
        <w:t>est</w:t>
      </w:r>
      <w:r w:rsidR="00C97672" w:rsidRPr="004B209D">
        <w:rPr>
          <w:b/>
          <w:sz w:val="20"/>
        </w:rPr>
        <w:t xml:space="preserve"> donc la part de l’ambulance</w:t>
      </w:r>
      <w:r w:rsidR="00673285" w:rsidRPr="004B209D">
        <w:rPr>
          <w:b/>
          <w:sz w:val="20"/>
        </w:rPr>
        <w:t xml:space="preserve"> par</w:t>
      </w:r>
      <w:r w:rsidRPr="004B209D">
        <w:rPr>
          <w:b/>
          <w:sz w:val="20"/>
        </w:rPr>
        <w:t xml:space="preserve"> rapport aux montants </w:t>
      </w:r>
      <w:r w:rsidR="00673285" w:rsidRPr="004B209D">
        <w:rPr>
          <w:b/>
          <w:sz w:val="20"/>
        </w:rPr>
        <w:t xml:space="preserve">remboursés </w:t>
      </w:r>
      <w:r w:rsidR="001C30BD" w:rsidRPr="004B209D">
        <w:rPr>
          <w:b/>
          <w:sz w:val="20"/>
        </w:rPr>
        <w:t xml:space="preserve">par l’Assurance Maladie Obligatoire </w:t>
      </w:r>
      <w:r w:rsidRPr="004B209D">
        <w:rPr>
          <w:b/>
          <w:sz w:val="20"/>
        </w:rPr>
        <w:t>prescrits en ambulance et en TAP</w:t>
      </w:r>
      <w:r w:rsidR="00C97672" w:rsidRPr="004B209D">
        <w:rPr>
          <w:b/>
          <w:sz w:val="20"/>
        </w:rPr>
        <w:t xml:space="preserve"> (VSL et Taxi)</w:t>
      </w:r>
      <w:r w:rsidR="00C2538A" w:rsidRPr="004B209D">
        <w:rPr>
          <w:b/>
          <w:sz w:val="20"/>
        </w:rPr>
        <w:t xml:space="preserve"> </w:t>
      </w:r>
      <w:r w:rsidR="001C30BD" w:rsidRPr="004B209D">
        <w:rPr>
          <w:b/>
          <w:sz w:val="20"/>
        </w:rPr>
        <w:t>par l’établissement</w:t>
      </w:r>
      <w:r w:rsidR="001675D1" w:rsidRPr="004B209D">
        <w:rPr>
          <w:b/>
          <w:sz w:val="20"/>
        </w:rPr>
        <w:t xml:space="preserve"> et financés sur l’enveloppe de ville. Il</w:t>
      </w:r>
      <w:r w:rsidR="001C30BD" w:rsidRPr="004B209D">
        <w:rPr>
          <w:b/>
          <w:sz w:val="20"/>
        </w:rPr>
        <w:t xml:space="preserve"> </w:t>
      </w:r>
      <w:r w:rsidR="00C2538A" w:rsidRPr="004B209D">
        <w:rPr>
          <w:b/>
          <w:sz w:val="20"/>
        </w:rPr>
        <w:t>sera calcu</w:t>
      </w:r>
      <w:r w:rsidR="008F3A9F" w:rsidRPr="004B209D">
        <w:rPr>
          <w:b/>
          <w:sz w:val="20"/>
        </w:rPr>
        <w:t xml:space="preserve">lé à partir des données 2019 </w:t>
      </w:r>
      <w:r w:rsidR="000D7830" w:rsidRPr="004B209D">
        <w:rPr>
          <w:b/>
          <w:sz w:val="20"/>
        </w:rPr>
        <w:t xml:space="preserve">(année de référence) </w:t>
      </w:r>
      <w:r w:rsidR="008F3A9F" w:rsidRPr="004B209D">
        <w:rPr>
          <w:b/>
          <w:sz w:val="20"/>
        </w:rPr>
        <w:t>du SNDS</w:t>
      </w:r>
      <w:r w:rsidR="000D7830" w:rsidRPr="004B209D">
        <w:rPr>
          <w:b/>
          <w:sz w:val="20"/>
        </w:rPr>
        <w:t xml:space="preserve"> (DCIR)</w:t>
      </w:r>
      <w:r w:rsidR="008F3A9F" w:rsidRPr="004B209D">
        <w:rPr>
          <w:b/>
          <w:sz w:val="20"/>
        </w:rPr>
        <w:t xml:space="preserve"> en date de liquidation pour l’ensemble des régimes.</w:t>
      </w:r>
      <w:r w:rsidR="00C97672" w:rsidRPr="004B209D">
        <w:rPr>
          <w:b/>
          <w:sz w:val="20"/>
        </w:rPr>
        <w:t xml:space="preserve"> Les transports urgents pré-hospitaliers ne font pas partie du périmètre de l’indicateur</w:t>
      </w:r>
      <w:r w:rsidR="001675D1" w:rsidRPr="004B209D">
        <w:rPr>
          <w:b/>
          <w:sz w:val="20"/>
        </w:rPr>
        <w:t xml:space="preserve"> ni les transports inter et intra hospitaliers dont le financement a été transféré aux établissements depuis le 1</w:t>
      </w:r>
      <w:r w:rsidR="001675D1" w:rsidRPr="004B209D">
        <w:rPr>
          <w:b/>
          <w:sz w:val="20"/>
          <w:vertAlign w:val="superscript"/>
        </w:rPr>
        <w:t>er</w:t>
      </w:r>
      <w:r w:rsidR="001675D1" w:rsidRPr="004B209D">
        <w:rPr>
          <w:b/>
          <w:sz w:val="20"/>
        </w:rPr>
        <w:t xml:space="preserve"> octobre 2018. </w:t>
      </w:r>
      <w:r w:rsidR="00170CD2" w:rsidRPr="004B209D">
        <w:rPr>
          <w:b/>
          <w:sz w:val="20"/>
        </w:rPr>
        <w:t>Parmi l</w:t>
      </w:r>
      <w:r w:rsidR="000D7830" w:rsidRPr="004B209D">
        <w:rPr>
          <w:b/>
          <w:sz w:val="20"/>
        </w:rPr>
        <w:t>’</w:t>
      </w:r>
      <w:r w:rsidR="00170CD2" w:rsidRPr="004B209D">
        <w:rPr>
          <w:b/>
          <w:sz w:val="20"/>
        </w:rPr>
        <w:t>ensemble des établissements ciblés, seront retenus initialement</w:t>
      </w:r>
      <w:r w:rsidR="000D7830" w:rsidRPr="004B209D">
        <w:rPr>
          <w:b/>
          <w:sz w:val="20"/>
        </w:rPr>
        <w:t xml:space="preserve"> pour cet </w:t>
      </w:r>
      <w:r w:rsidR="00170CD2" w:rsidRPr="004B209D">
        <w:rPr>
          <w:b/>
          <w:sz w:val="20"/>
        </w:rPr>
        <w:t>indicateur les établissements présentant le taux de recours le plus important à l’ambulance.</w:t>
      </w:r>
    </w:p>
    <w:p w:rsidR="00E930DB" w:rsidRPr="004B209D" w:rsidRDefault="00E930DB" w:rsidP="00C2538A">
      <w:pPr>
        <w:jc w:val="both"/>
        <w:rPr>
          <w:b/>
          <w:sz w:val="20"/>
        </w:rPr>
      </w:pPr>
      <w:r w:rsidRPr="004B209D">
        <w:rPr>
          <w:b/>
          <w:sz w:val="20"/>
        </w:rPr>
        <w:t>L’indicateur est par conséquent décroissant. L’objectif de l’établissement est d’obtenir le ratio le plus faible possible.</w:t>
      </w:r>
    </w:p>
    <w:p w:rsidR="00782DCC" w:rsidRPr="004B209D" w:rsidRDefault="00782DCC" w:rsidP="00782DCC">
      <w:pPr>
        <w:jc w:val="both"/>
        <w:rPr>
          <w:sz w:val="20"/>
        </w:rPr>
      </w:pPr>
      <w:r w:rsidRPr="004B209D">
        <w:rPr>
          <w:sz w:val="20"/>
        </w:rPr>
        <w:t>Il convient de retenir les codes prestations suivants :</w:t>
      </w:r>
    </w:p>
    <w:p w:rsidR="00782DCC" w:rsidRPr="004B209D" w:rsidRDefault="00782DCC" w:rsidP="00782DCC">
      <w:pPr>
        <w:numPr>
          <w:ilvl w:val="0"/>
          <w:numId w:val="2"/>
        </w:numPr>
        <w:spacing w:after="0"/>
        <w:ind w:left="714" w:hanging="357"/>
        <w:jc w:val="both"/>
        <w:rPr>
          <w:sz w:val="20"/>
        </w:rPr>
      </w:pPr>
      <w:r w:rsidRPr="004B209D">
        <w:rPr>
          <w:sz w:val="20"/>
        </w:rPr>
        <w:t>Pour l’ambulance : code 4212</w:t>
      </w:r>
      <w:r w:rsidRPr="004B209D">
        <w:rPr>
          <w:rStyle w:val="Appelnotedebasdep"/>
          <w:sz w:val="20"/>
        </w:rPr>
        <w:footnoteReference w:id="2"/>
      </w:r>
    </w:p>
    <w:p w:rsidR="00782DCC" w:rsidRPr="004B209D" w:rsidRDefault="00782DCC" w:rsidP="00782DCC">
      <w:pPr>
        <w:numPr>
          <w:ilvl w:val="0"/>
          <w:numId w:val="2"/>
        </w:numPr>
        <w:spacing w:after="0"/>
        <w:ind w:left="714" w:hanging="357"/>
        <w:jc w:val="both"/>
        <w:rPr>
          <w:sz w:val="20"/>
        </w:rPr>
      </w:pPr>
      <w:r w:rsidRPr="004B209D">
        <w:rPr>
          <w:sz w:val="20"/>
        </w:rPr>
        <w:t xml:space="preserve">Pour le TAP (Taxis et VSL) : </w:t>
      </w:r>
    </w:p>
    <w:p w:rsidR="00782DCC" w:rsidRPr="004B209D" w:rsidRDefault="00782DCC" w:rsidP="00782DCC">
      <w:pPr>
        <w:pStyle w:val="Paragraphedeliste"/>
        <w:numPr>
          <w:ilvl w:val="1"/>
          <w:numId w:val="2"/>
        </w:numPr>
        <w:rPr>
          <w:sz w:val="20"/>
        </w:rPr>
      </w:pPr>
      <w:r w:rsidRPr="004B209D">
        <w:rPr>
          <w:sz w:val="20"/>
        </w:rPr>
        <w:t>taxis (codes 4210, 4214, 4217, 4218, 4220, 4229)</w:t>
      </w:r>
    </w:p>
    <w:p w:rsidR="00782DCC" w:rsidRPr="004B209D" w:rsidRDefault="00782DCC" w:rsidP="00782DCC">
      <w:pPr>
        <w:pStyle w:val="Paragraphedeliste"/>
        <w:numPr>
          <w:ilvl w:val="1"/>
          <w:numId w:val="2"/>
        </w:numPr>
        <w:rPr>
          <w:sz w:val="20"/>
        </w:rPr>
      </w:pPr>
      <w:r w:rsidRPr="004B209D">
        <w:rPr>
          <w:sz w:val="20"/>
        </w:rPr>
        <w:t>VSL (code 4213)</w:t>
      </w:r>
    </w:p>
    <w:p w:rsidR="00782DCC" w:rsidRPr="004B209D" w:rsidRDefault="00782DCC" w:rsidP="00782DCC">
      <w:pPr>
        <w:jc w:val="center"/>
        <w:rPr>
          <w:sz w:val="20"/>
        </w:rPr>
      </w:pPr>
    </w:p>
    <w:p w:rsidR="00782DCC" w:rsidRPr="004B209D" w:rsidRDefault="00782DCC" w:rsidP="00782DCC">
      <w:pPr>
        <w:jc w:val="both"/>
        <w:rPr>
          <w:sz w:val="20"/>
        </w:rPr>
      </w:pPr>
      <w:r w:rsidRPr="004B209D">
        <w:rPr>
          <w:sz w:val="20"/>
        </w:rPr>
        <w:t>Pour information ce ratio, pour les prescripteurs hospitaliers, s’élève en 2018 à 37% au plan national mais cache d’importantes disparités puisque ce résultat varie de 13% en Lozère à 87% dans le Val de Marne.</w:t>
      </w:r>
    </w:p>
    <w:p w:rsidR="00254CB0" w:rsidRDefault="00254CB0" w:rsidP="00C2538A">
      <w:pPr>
        <w:jc w:val="both"/>
        <w:rPr>
          <w:b/>
          <w:sz w:val="20"/>
        </w:rPr>
      </w:pPr>
    </w:p>
    <w:p w:rsidR="004B209D" w:rsidRDefault="004B209D" w:rsidP="00C2538A">
      <w:pPr>
        <w:jc w:val="both"/>
        <w:rPr>
          <w:b/>
          <w:sz w:val="20"/>
        </w:rPr>
      </w:pPr>
    </w:p>
    <w:p w:rsidR="004B209D" w:rsidRDefault="004B209D" w:rsidP="00C2538A">
      <w:pPr>
        <w:jc w:val="both"/>
        <w:rPr>
          <w:b/>
          <w:sz w:val="20"/>
        </w:rPr>
      </w:pPr>
    </w:p>
    <w:p w:rsidR="004B209D" w:rsidRDefault="004B209D" w:rsidP="00C2538A">
      <w:pPr>
        <w:jc w:val="both"/>
        <w:rPr>
          <w:b/>
          <w:sz w:val="20"/>
        </w:rPr>
      </w:pPr>
    </w:p>
    <w:p w:rsidR="004B209D" w:rsidRDefault="004B209D" w:rsidP="00C2538A">
      <w:pPr>
        <w:jc w:val="both"/>
        <w:rPr>
          <w:b/>
          <w:sz w:val="20"/>
        </w:rPr>
      </w:pPr>
    </w:p>
    <w:p w:rsidR="004B209D" w:rsidRPr="004B209D" w:rsidRDefault="004B209D" w:rsidP="00C2538A">
      <w:pPr>
        <w:jc w:val="both"/>
        <w:rPr>
          <w:b/>
          <w:sz w:val="20"/>
        </w:rPr>
      </w:pPr>
    </w:p>
    <w:p w:rsidR="00782DCC" w:rsidRPr="004B209D" w:rsidRDefault="00782DCC" w:rsidP="00254CB0">
      <w:pPr>
        <w:jc w:val="both"/>
        <w:rPr>
          <w:b/>
          <w:sz w:val="20"/>
        </w:rPr>
      </w:pPr>
      <w:r w:rsidRPr="004B209D">
        <w:rPr>
          <w:b/>
          <w:sz w:val="20"/>
        </w:rPr>
        <w:t>3 / Le mode de calcul des économies</w:t>
      </w:r>
    </w:p>
    <w:p w:rsidR="00782DCC" w:rsidRPr="004B209D" w:rsidRDefault="00782DCC" w:rsidP="00254CB0">
      <w:pPr>
        <w:jc w:val="both"/>
        <w:rPr>
          <w:rFonts w:ascii="Times New Roman" w:hAnsi="Times New Roman"/>
          <w:sz w:val="20"/>
        </w:rPr>
      </w:pPr>
    </w:p>
    <w:p w:rsidR="00254CB0" w:rsidRPr="004B209D" w:rsidRDefault="00254CB0" w:rsidP="00254CB0">
      <w:pPr>
        <w:jc w:val="both"/>
        <w:rPr>
          <w:rFonts w:ascii="Times New Roman" w:hAnsi="Times New Roman"/>
          <w:sz w:val="20"/>
        </w:rPr>
      </w:pPr>
      <w:r w:rsidRPr="004B209D">
        <w:rPr>
          <w:rFonts w:ascii="Times New Roman" w:hAnsi="Times New Roman"/>
          <w:sz w:val="20"/>
        </w:rPr>
        <w:t xml:space="preserve">La réalisation d’économies entre l’année n-1 et n sur les prescriptions </w:t>
      </w:r>
      <w:r w:rsidR="00E217C6" w:rsidRPr="004B209D">
        <w:rPr>
          <w:rFonts w:ascii="Times New Roman" w:hAnsi="Times New Roman"/>
          <w:sz w:val="20"/>
        </w:rPr>
        <w:t xml:space="preserve">de transports en ambulance </w:t>
      </w:r>
      <w:r w:rsidRPr="004B209D">
        <w:rPr>
          <w:rFonts w:ascii="Times New Roman" w:hAnsi="Times New Roman"/>
          <w:sz w:val="20"/>
        </w:rPr>
        <w:t>exécutées en ville par un établissement donné permettra à l’établissement de santé</w:t>
      </w:r>
      <w:r w:rsidR="00782DCC" w:rsidRPr="004B209D">
        <w:rPr>
          <w:rFonts w:ascii="Times New Roman" w:hAnsi="Times New Roman"/>
          <w:sz w:val="20"/>
        </w:rPr>
        <w:t xml:space="preserve"> d’être rémunéré à hauteur de 20</w:t>
      </w:r>
      <w:r w:rsidRPr="004B209D">
        <w:rPr>
          <w:rFonts w:ascii="Times New Roman" w:hAnsi="Times New Roman"/>
          <w:sz w:val="20"/>
        </w:rPr>
        <w:t>% des économies générées (dépenses évitées</w:t>
      </w:r>
      <w:r w:rsidR="0077381F" w:rsidRPr="004B209D">
        <w:rPr>
          <w:rFonts w:ascii="Times New Roman" w:hAnsi="Times New Roman"/>
          <w:sz w:val="20"/>
        </w:rPr>
        <w:t xml:space="preserve"> de transport en ambulance à 98€ en moyenne le trajet versus 45€ en moyenne pour un trajet TAP)</w:t>
      </w:r>
      <w:r w:rsidRPr="004B209D">
        <w:rPr>
          <w:rFonts w:ascii="Times New Roman" w:hAnsi="Times New Roman"/>
          <w:sz w:val="20"/>
        </w:rPr>
        <w:t>.</w:t>
      </w:r>
    </w:p>
    <w:p w:rsidR="0068385F" w:rsidRPr="004B209D" w:rsidRDefault="0068385F" w:rsidP="0068385F">
      <w:pPr>
        <w:pBdr>
          <w:top w:val="single" w:sz="4" w:space="1" w:color="auto"/>
          <w:left w:val="single" w:sz="4" w:space="4" w:color="auto"/>
          <w:bottom w:val="single" w:sz="4" w:space="1" w:color="auto"/>
          <w:right w:val="single" w:sz="4" w:space="4" w:color="auto"/>
        </w:pBdr>
        <w:tabs>
          <w:tab w:val="left" w:pos="2216"/>
        </w:tabs>
        <w:spacing w:after="120"/>
        <w:rPr>
          <w:rFonts w:ascii="Times New Roman" w:hAnsi="Times New Roman"/>
          <w:b/>
          <w:sz w:val="20"/>
          <w:u w:val="single"/>
        </w:rPr>
      </w:pPr>
      <w:r w:rsidRPr="004B209D">
        <w:rPr>
          <w:rFonts w:ascii="Times New Roman" w:hAnsi="Times New Roman"/>
          <w:b/>
          <w:sz w:val="20"/>
          <w:u w:val="single"/>
        </w:rPr>
        <w:t xml:space="preserve">Données </w:t>
      </w:r>
      <w:r w:rsidR="00414CEF" w:rsidRPr="004B209D">
        <w:rPr>
          <w:rFonts w:ascii="Times New Roman" w:hAnsi="Times New Roman"/>
          <w:b/>
          <w:sz w:val="20"/>
          <w:u w:val="single"/>
        </w:rPr>
        <w:t xml:space="preserve">année </w:t>
      </w:r>
      <w:r w:rsidR="0077381F" w:rsidRPr="004B209D">
        <w:rPr>
          <w:rFonts w:ascii="Times New Roman" w:hAnsi="Times New Roman"/>
          <w:b/>
          <w:sz w:val="20"/>
          <w:u w:val="single"/>
        </w:rPr>
        <w:t>N</w:t>
      </w:r>
      <w:r w:rsidR="00414CEF" w:rsidRPr="004B209D">
        <w:rPr>
          <w:rFonts w:ascii="Times New Roman" w:hAnsi="Times New Roman"/>
          <w:b/>
          <w:sz w:val="20"/>
          <w:u w:val="single"/>
        </w:rPr>
        <w:t xml:space="preserve">-1 </w:t>
      </w:r>
      <w:r w:rsidRPr="004B209D">
        <w:rPr>
          <w:rFonts w:ascii="Times New Roman" w:hAnsi="Times New Roman"/>
          <w:b/>
          <w:sz w:val="20"/>
          <w:u w:val="single"/>
        </w:rPr>
        <w:tab/>
      </w:r>
    </w:p>
    <w:p w:rsidR="0068385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r w:rsidRPr="004B209D">
        <w:rPr>
          <w:rFonts w:ascii="Times New Roman" w:hAnsi="Times New Roman"/>
          <w:b/>
          <w:sz w:val="20"/>
        </w:rPr>
        <w:t xml:space="preserve">M1 = </w:t>
      </w:r>
      <w:r w:rsidR="00414CEF" w:rsidRPr="004B209D">
        <w:rPr>
          <w:rFonts w:ascii="Times New Roman" w:hAnsi="Times New Roman"/>
          <w:sz w:val="20"/>
        </w:rPr>
        <w:t xml:space="preserve">Montants remboursés </w:t>
      </w:r>
      <w:r w:rsidRPr="004B209D">
        <w:rPr>
          <w:rFonts w:ascii="Times New Roman" w:hAnsi="Times New Roman"/>
          <w:sz w:val="20"/>
        </w:rPr>
        <w:t xml:space="preserve">totaux </w:t>
      </w:r>
      <w:r w:rsidR="00414CEF" w:rsidRPr="004B209D">
        <w:rPr>
          <w:rFonts w:ascii="Times New Roman" w:hAnsi="Times New Roman"/>
          <w:sz w:val="20"/>
        </w:rPr>
        <w:t xml:space="preserve">en année </w:t>
      </w:r>
      <w:r w:rsidR="0077381F" w:rsidRPr="004B209D">
        <w:rPr>
          <w:rFonts w:ascii="Times New Roman" w:hAnsi="Times New Roman"/>
          <w:sz w:val="20"/>
        </w:rPr>
        <w:t>N</w:t>
      </w:r>
      <w:r w:rsidR="00414CEF" w:rsidRPr="004B209D">
        <w:rPr>
          <w:rFonts w:ascii="Times New Roman" w:hAnsi="Times New Roman"/>
          <w:sz w:val="20"/>
        </w:rPr>
        <w:t xml:space="preserve"> -1 </w:t>
      </w:r>
      <w:r w:rsidRPr="004B209D">
        <w:rPr>
          <w:rFonts w:ascii="Times New Roman" w:hAnsi="Times New Roman"/>
          <w:sz w:val="20"/>
        </w:rPr>
        <w:t xml:space="preserve">(Ambulance + </w:t>
      </w:r>
      <w:r w:rsidR="00414CEF" w:rsidRPr="004B209D">
        <w:rPr>
          <w:rFonts w:ascii="Times New Roman" w:hAnsi="Times New Roman"/>
          <w:sz w:val="20"/>
        </w:rPr>
        <w:t>TAP</w:t>
      </w:r>
      <w:r w:rsidRPr="004B209D">
        <w:rPr>
          <w:rFonts w:ascii="Times New Roman" w:hAnsi="Times New Roman"/>
          <w:sz w:val="20"/>
        </w:rPr>
        <w:t>)</w:t>
      </w:r>
    </w:p>
    <w:p w:rsidR="0068385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r w:rsidRPr="004B209D">
        <w:rPr>
          <w:rFonts w:ascii="Times New Roman" w:hAnsi="Times New Roman"/>
          <w:b/>
          <w:sz w:val="20"/>
        </w:rPr>
        <w:t>Mamb1</w:t>
      </w:r>
      <w:r w:rsidRPr="004B209D">
        <w:rPr>
          <w:rFonts w:ascii="Times New Roman" w:hAnsi="Times New Roman"/>
          <w:sz w:val="20"/>
        </w:rPr>
        <w:t xml:space="preserve"> = Montants remboursés ambulance année </w:t>
      </w:r>
      <w:r w:rsidR="0077381F" w:rsidRPr="004B209D">
        <w:rPr>
          <w:rFonts w:ascii="Times New Roman" w:hAnsi="Times New Roman"/>
          <w:sz w:val="20"/>
        </w:rPr>
        <w:t>N</w:t>
      </w:r>
      <w:r w:rsidRPr="004B209D">
        <w:rPr>
          <w:rFonts w:ascii="Times New Roman" w:hAnsi="Times New Roman"/>
          <w:sz w:val="20"/>
        </w:rPr>
        <w:t xml:space="preserve"> -1</w:t>
      </w:r>
    </w:p>
    <w:p w:rsidR="00414CE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b/>
          <w:sz w:val="20"/>
        </w:rPr>
      </w:pPr>
      <w:r w:rsidRPr="004B209D">
        <w:rPr>
          <w:rFonts w:ascii="Times New Roman" w:hAnsi="Times New Roman"/>
          <w:b/>
          <w:sz w:val="20"/>
        </w:rPr>
        <w:t>R1</w:t>
      </w:r>
      <w:r w:rsidRPr="004B209D">
        <w:rPr>
          <w:rFonts w:ascii="Times New Roman" w:hAnsi="Times New Roman"/>
          <w:sz w:val="20"/>
        </w:rPr>
        <w:t xml:space="preserve"> = Ratio ambulance année </w:t>
      </w:r>
      <w:r w:rsidR="0077381F" w:rsidRPr="004B209D">
        <w:rPr>
          <w:rFonts w:ascii="Times New Roman" w:hAnsi="Times New Roman"/>
          <w:sz w:val="20"/>
        </w:rPr>
        <w:t>N</w:t>
      </w:r>
      <w:r w:rsidRPr="004B209D">
        <w:rPr>
          <w:rFonts w:ascii="Times New Roman" w:hAnsi="Times New Roman"/>
          <w:sz w:val="20"/>
        </w:rPr>
        <w:t>-1 = Mamb1/M1</w:t>
      </w:r>
      <w:r w:rsidR="00414CEF" w:rsidRPr="004B209D">
        <w:rPr>
          <w:rFonts w:ascii="Times New Roman" w:hAnsi="Times New Roman"/>
          <w:sz w:val="20"/>
        </w:rPr>
        <w:t xml:space="preserve">  </w:t>
      </w:r>
    </w:p>
    <w:p w:rsidR="0068385F" w:rsidRPr="004B209D" w:rsidRDefault="0068385F" w:rsidP="0068385F">
      <w:pPr>
        <w:pBdr>
          <w:top w:val="single" w:sz="4" w:space="1" w:color="auto"/>
          <w:left w:val="single" w:sz="4" w:space="4" w:color="auto"/>
          <w:bottom w:val="single" w:sz="4" w:space="1" w:color="auto"/>
          <w:right w:val="single" w:sz="4" w:space="4" w:color="auto"/>
        </w:pBdr>
        <w:tabs>
          <w:tab w:val="left" w:pos="2216"/>
        </w:tabs>
        <w:spacing w:after="120"/>
        <w:rPr>
          <w:rFonts w:ascii="Times New Roman" w:hAnsi="Times New Roman"/>
          <w:b/>
          <w:sz w:val="20"/>
          <w:u w:val="single"/>
        </w:rPr>
      </w:pPr>
      <w:r w:rsidRPr="004B209D">
        <w:rPr>
          <w:rFonts w:ascii="Times New Roman" w:hAnsi="Times New Roman"/>
          <w:b/>
          <w:sz w:val="20"/>
          <w:u w:val="single"/>
        </w:rPr>
        <w:t xml:space="preserve">Données année </w:t>
      </w:r>
      <w:r w:rsidR="0077381F" w:rsidRPr="004B209D">
        <w:rPr>
          <w:rFonts w:ascii="Times New Roman" w:hAnsi="Times New Roman"/>
          <w:b/>
          <w:sz w:val="20"/>
          <w:u w:val="single"/>
        </w:rPr>
        <w:t>N</w:t>
      </w:r>
      <w:r w:rsidRPr="004B209D">
        <w:rPr>
          <w:rFonts w:ascii="Times New Roman" w:hAnsi="Times New Roman"/>
          <w:b/>
          <w:sz w:val="20"/>
          <w:u w:val="single"/>
        </w:rPr>
        <w:t xml:space="preserve"> </w:t>
      </w:r>
      <w:r w:rsidRPr="004B209D">
        <w:rPr>
          <w:rFonts w:ascii="Times New Roman" w:hAnsi="Times New Roman"/>
          <w:b/>
          <w:sz w:val="20"/>
          <w:u w:val="single"/>
        </w:rPr>
        <w:tab/>
      </w:r>
    </w:p>
    <w:p w:rsidR="0068385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r w:rsidRPr="004B209D">
        <w:rPr>
          <w:rFonts w:ascii="Times New Roman" w:hAnsi="Times New Roman"/>
          <w:b/>
          <w:sz w:val="20"/>
        </w:rPr>
        <w:t xml:space="preserve">M2 = </w:t>
      </w:r>
      <w:r w:rsidRPr="004B209D">
        <w:rPr>
          <w:rFonts w:ascii="Times New Roman" w:hAnsi="Times New Roman"/>
          <w:sz w:val="20"/>
        </w:rPr>
        <w:t xml:space="preserve">Montants remboursés totaux en année </w:t>
      </w:r>
      <w:r w:rsidR="0077381F" w:rsidRPr="004B209D">
        <w:rPr>
          <w:rFonts w:ascii="Times New Roman" w:hAnsi="Times New Roman"/>
          <w:sz w:val="20"/>
        </w:rPr>
        <w:t>N</w:t>
      </w:r>
      <w:r w:rsidRPr="004B209D">
        <w:rPr>
          <w:rFonts w:ascii="Times New Roman" w:hAnsi="Times New Roman"/>
          <w:sz w:val="20"/>
        </w:rPr>
        <w:t xml:space="preserve"> (Ambulance + TAP)</w:t>
      </w:r>
    </w:p>
    <w:p w:rsidR="0068385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r w:rsidRPr="004B209D">
        <w:rPr>
          <w:rFonts w:ascii="Times New Roman" w:hAnsi="Times New Roman"/>
          <w:b/>
          <w:sz w:val="20"/>
        </w:rPr>
        <w:t>Mamb2</w:t>
      </w:r>
      <w:r w:rsidRPr="004B209D">
        <w:rPr>
          <w:rFonts w:ascii="Times New Roman" w:hAnsi="Times New Roman"/>
          <w:sz w:val="20"/>
        </w:rPr>
        <w:t xml:space="preserve"> = Montants remboursés ambulance année </w:t>
      </w:r>
      <w:r w:rsidR="0077381F" w:rsidRPr="004B209D">
        <w:rPr>
          <w:rFonts w:ascii="Times New Roman" w:hAnsi="Times New Roman"/>
          <w:sz w:val="20"/>
        </w:rPr>
        <w:t>N</w:t>
      </w:r>
    </w:p>
    <w:p w:rsidR="0068385F" w:rsidRPr="004B209D" w:rsidRDefault="0068385F" w:rsidP="0068385F">
      <w:pPr>
        <w:pBdr>
          <w:top w:val="single" w:sz="4" w:space="1" w:color="auto"/>
          <w:left w:val="single" w:sz="4" w:space="4" w:color="auto"/>
          <w:bottom w:val="single" w:sz="4" w:space="1" w:color="auto"/>
          <w:right w:val="single" w:sz="4" w:space="4" w:color="auto"/>
        </w:pBdr>
        <w:spacing w:after="120"/>
        <w:rPr>
          <w:rFonts w:ascii="Times New Roman" w:hAnsi="Times New Roman"/>
          <w:b/>
          <w:sz w:val="20"/>
        </w:rPr>
      </w:pPr>
      <w:r w:rsidRPr="004B209D">
        <w:rPr>
          <w:rFonts w:ascii="Times New Roman" w:hAnsi="Times New Roman"/>
          <w:b/>
          <w:sz w:val="20"/>
        </w:rPr>
        <w:t>R2</w:t>
      </w:r>
      <w:r w:rsidRPr="004B209D">
        <w:rPr>
          <w:rFonts w:ascii="Times New Roman" w:hAnsi="Times New Roman"/>
          <w:sz w:val="20"/>
        </w:rPr>
        <w:t xml:space="preserve"> = Ratio ambulance année </w:t>
      </w:r>
      <w:r w:rsidR="0077381F" w:rsidRPr="004B209D">
        <w:rPr>
          <w:rFonts w:ascii="Times New Roman" w:hAnsi="Times New Roman"/>
          <w:sz w:val="20"/>
        </w:rPr>
        <w:t>N</w:t>
      </w:r>
      <w:r w:rsidRPr="004B209D">
        <w:rPr>
          <w:rFonts w:ascii="Times New Roman" w:hAnsi="Times New Roman"/>
          <w:sz w:val="20"/>
        </w:rPr>
        <w:t xml:space="preserve"> = Mamb2/M2  </w:t>
      </w:r>
    </w:p>
    <w:p w:rsidR="0068385F" w:rsidRPr="004B209D" w:rsidRDefault="0068385F" w:rsidP="00254CB0">
      <w:pPr>
        <w:pBdr>
          <w:top w:val="single" w:sz="4" w:space="1" w:color="auto"/>
          <w:left w:val="single" w:sz="4" w:space="4" w:color="auto"/>
          <w:bottom w:val="single" w:sz="4" w:space="1" w:color="auto"/>
          <w:right w:val="single" w:sz="4" w:space="4" w:color="auto"/>
        </w:pBdr>
        <w:rPr>
          <w:rFonts w:ascii="Times New Roman" w:hAnsi="Times New Roman"/>
          <w:sz w:val="20"/>
        </w:rPr>
      </w:pPr>
    </w:p>
    <w:p w:rsidR="00F260CC" w:rsidRPr="004B209D" w:rsidRDefault="00F260CC" w:rsidP="00254CB0">
      <w:pPr>
        <w:pBdr>
          <w:top w:val="single" w:sz="4" w:space="1" w:color="auto"/>
          <w:left w:val="single" w:sz="4" w:space="4" w:color="auto"/>
          <w:bottom w:val="single" w:sz="4" w:space="1" w:color="auto"/>
          <w:right w:val="single" w:sz="4" w:space="4" w:color="auto"/>
        </w:pBdr>
        <w:rPr>
          <w:rFonts w:ascii="Times New Roman" w:hAnsi="Times New Roman"/>
          <w:b/>
          <w:sz w:val="20"/>
        </w:rPr>
      </w:pPr>
      <w:r w:rsidRPr="004B209D">
        <w:rPr>
          <w:rFonts w:ascii="Times New Roman" w:hAnsi="Times New Roman"/>
          <w:sz w:val="20"/>
        </w:rPr>
        <w:t xml:space="preserve">Nous avons distingué </w:t>
      </w:r>
      <w:r w:rsidR="0068385F" w:rsidRPr="004B209D">
        <w:rPr>
          <w:rFonts w:ascii="Times New Roman" w:hAnsi="Times New Roman"/>
          <w:sz w:val="20"/>
        </w:rPr>
        <w:t>2</w:t>
      </w:r>
      <w:r w:rsidRPr="004B209D">
        <w:rPr>
          <w:rFonts w:ascii="Times New Roman" w:hAnsi="Times New Roman"/>
          <w:sz w:val="20"/>
        </w:rPr>
        <w:t xml:space="preserve"> cas de figures :</w:t>
      </w:r>
    </w:p>
    <w:p w:rsidR="004B428C" w:rsidRPr="004B209D" w:rsidRDefault="00F260CC" w:rsidP="00254CB0">
      <w:pPr>
        <w:pBdr>
          <w:top w:val="single" w:sz="4" w:space="1" w:color="auto"/>
          <w:left w:val="single" w:sz="4" w:space="4" w:color="auto"/>
          <w:bottom w:val="single" w:sz="4" w:space="1" w:color="auto"/>
          <w:right w:val="single" w:sz="4" w:space="4" w:color="auto"/>
        </w:pBdr>
        <w:rPr>
          <w:rFonts w:ascii="Times New Roman" w:hAnsi="Times New Roman"/>
          <w:sz w:val="20"/>
        </w:rPr>
      </w:pPr>
      <w:r w:rsidRPr="004B209D">
        <w:rPr>
          <w:rFonts w:ascii="Times New Roman" w:hAnsi="Times New Roman"/>
          <w:b/>
          <w:sz w:val="20"/>
        </w:rPr>
        <w:t xml:space="preserve">Cas 1 : </w:t>
      </w:r>
      <w:r w:rsidR="00C77604" w:rsidRPr="004B209D">
        <w:rPr>
          <w:rFonts w:ascii="Times New Roman" w:hAnsi="Times New Roman"/>
          <w:sz w:val="20"/>
        </w:rPr>
        <w:t>Si</w:t>
      </w:r>
      <w:r w:rsidR="00414CEF" w:rsidRPr="004B209D">
        <w:rPr>
          <w:rFonts w:ascii="Times New Roman" w:hAnsi="Times New Roman"/>
          <w:sz w:val="20"/>
        </w:rPr>
        <w:t xml:space="preserve"> </w:t>
      </w:r>
      <w:r w:rsidRPr="004B209D">
        <w:rPr>
          <w:rFonts w:ascii="Times New Roman" w:hAnsi="Times New Roman"/>
          <w:sz w:val="20"/>
        </w:rPr>
        <w:t xml:space="preserve">le </w:t>
      </w:r>
      <w:r w:rsidR="00414CEF" w:rsidRPr="004B209D">
        <w:rPr>
          <w:rFonts w:ascii="Times New Roman" w:hAnsi="Times New Roman"/>
          <w:sz w:val="20"/>
        </w:rPr>
        <w:t xml:space="preserve">ratio </w:t>
      </w:r>
      <w:r w:rsidR="0068385F" w:rsidRPr="004B209D">
        <w:rPr>
          <w:rFonts w:ascii="Times New Roman" w:hAnsi="Times New Roman"/>
          <w:sz w:val="20"/>
        </w:rPr>
        <w:t xml:space="preserve">R2 </w:t>
      </w:r>
      <w:r w:rsidR="00414CEF" w:rsidRPr="004B209D">
        <w:rPr>
          <w:rFonts w:ascii="Times New Roman" w:hAnsi="Times New Roman"/>
          <w:sz w:val="20"/>
        </w:rPr>
        <w:t xml:space="preserve">en année </w:t>
      </w:r>
      <w:r w:rsidR="0077381F" w:rsidRPr="004B209D">
        <w:rPr>
          <w:rFonts w:ascii="Times New Roman" w:hAnsi="Times New Roman"/>
          <w:sz w:val="20"/>
        </w:rPr>
        <w:t>N</w:t>
      </w:r>
      <w:r w:rsidR="00C77604" w:rsidRPr="004B209D">
        <w:rPr>
          <w:rFonts w:ascii="Times New Roman" w:hAnsi="Times New Roman"/>
          <w:sz w:val="20"/>
        </w:rPr>
        <w:t xml:space="preserve"> </w:t>
      </w:r>
      <w:r w:rsidRPr="004B209D">
        <w:rPr>
          <w:rFonts w:ascii="Times New Roman" w:hAnsi="Times New Roman"/>
          <w:sz w:val="20"/>
        </w:rPr>
        <w:t xml:space="preserve">est inférieur au </w:t>
      </w:r>
      <w:r w:rsidR="00414CEF" w:rsidRPr="004B209D">
        <w:rPr>
          <w:rFonts w:ascii="Times New Roman" w:hAnsi="Times New Roman"/>
          <w:sz w:val="20"/>
        </w:rPr>
        <w:t xml:space="preserve">ratio </w:t>
      </w:r>
      <w:r w:rsidR="0068385F" w:rsidRPr="004B209D">
        <w:rPr>
          <w:rFonts w:ascii="Times New Roman" w:hAnsi="Times New Roman"/>
          <w:sz w:val="20"/>
        </w:rPr>
        <w:t xml:space="preserve">R1 </w:t>
      </w:r>
      <w:r w:rsidR="00414CEF" w:rsidRPr="004B209D">
        <w:rPr>
          <w:rFonts w:ascii="Times New Roman" w:hAnsi="Times New Roman"/>
          <w:sz w:val="20"/>
        </w:rPr>
        <w:t xml:space="preserve">en année </w:t>
      </w:r>
      <w:r w:rsidR="0077381F" w:rsidRPr="004B209D">
        <w:rPr>
          <w:rFonts w:ascii="Times New Roman" w:hAnsi="Times New Roman"/>
          <w:sz w:val="20"/>
        </w:rPr>
        <w:t>N</w:t>
      </w:r>
      <w:r w:rsidR="00414CEF" w:rsidRPr="004B209D">
        <w:rPr>
          <w:rFonts w:ascii="Times New Roman" w:hAnsi="Times New Roman"/>
          <w:sz w:val="20"/>
        </w:rPr>
        <w:t xml:space="preserve">-1 </w:t>
      </w:r>
      <w:r w:rsidR="00C77604" w:rsidRPr="004B209D">
        <w:rPr>
          <w:rFonts w:ascii="Times New Roman" w:hAnsi="Times New Roman"/>
          <w:sz w:val="20"/>
        </w:rPr>
        <w:t>alors</w:t>
      </w:r>
      <w:r w:rsidR="004B428C" w:rsidRPr="004B209D">
        <w:rPr>
          <w:rFonts w:ascii="Times New Roman" w:hAnsi="Times New Roman"/>
          <w:sz w:val="20"/>
        </w:rPr>
        <w:t> :</w:t>
      </w:r>
    </w:p>
    <w:p w:rsidR="0068385F" w:rsidRPr="004B209D" w:rsidRDefault="00254CB0" w:rsidP="0068385F">
      <w:pPr>
        <w:pBdr>
          <w:top w:val="single" w:sz="4" w:space="1" w:color="auto"/>
          <w:left w:val="single" w:sz="4" w:space="4" w:color="auto"/>
          <w:bottom w:val="single" w:sz="4" w:space="1" w:color="auto"/>
          <w:right w:val="single" w:sz="4" w:space="4" w:color="auto"/>
        </w:pBdr>
        <w:rPr>
          <w:rFonts w:ascii="Times New Roman" w:hAnsi="Times New Roman"/>
        </w:rPr>
      </w:pPr>
      <w:r w:rsidRPr="004B209D">
        <w:rPr>
          <w:rFonts w:ascii="Times New Roman" w:hAnsi="Times New Roman"/>
          <w:sz w:val="20"/>
        </w:rPr>
        <w:t xml:space="preserve">Rémunération </w:t>
      </w:r>
      <w:r w:rsidR="00D04037" w:rsidRPr="004B209D">
        <w:rPr>
          <w:rFonts w:ascii="Times New Roman" w:hAnsi="Times New Roman"/>
          <w:sz w:val="20"/>
        </w:rPr>
        <w:t xml:space="preserve">année </w:t>
      </w:r>
      <w:r w:rsidR="0077381F" w:rsidRPr="004B209D">
        <w:rPr>
          <w:rFonts w:ascii="Times New Roman" w:hAnsi="Times New Roman"/>
          <w:sz w:val="20"/>
        </w:rPr>
        <w:t>N</w:t>
      </w:r>
      <w:r w:rsidRPr="004B209D">
        <w:rPr>
          <w:rFonts w:ascii="Times New Roman" w:hAnsi="Times New Roman"/>
          <w:sz w:val="20"/>
        </w:rPr>
        <w:t xml:space="preserve"> = 0,2</w:t>
      </w:r>
      <w:r w:rsidR="00C77604" w:rsidRPr="004B209D">
        <w:rPr>
          <w:rFonts w:ascii="Times New Roman" w:hAnsi="Times New Roman"/>
          <w:sz w:val="20"/>
        </w:rPr>
        <w:t xml:space="preserve">0 </w:t>
      </w:r>
      <w:r w:rsidR="0068385F" w:rsidRPr="004B209D">
        <w:rPr>
          <w:rFonts w:ascii="Times New Roman" w:hAnsi="Times New Roman"/>
          <w:sz w:val="20"/>
        </w:rPr>
        <w:t>*</w:t>
      </w:r>
      <w:r w:rsidR="00C77604" w:rsidRPr="004B209D">
        <w:rPr>
          <w:rFonts w:ascii="Times New Roman" w:hAnsi="Times New Roman"/>
          <w:sz w:val="20"/>
        </w:rPr>
        <w:t xml:space="preserve"> (</w:t>
      </w:r>
      <w:r w:rsidR="0068385F" w:rsidRPr="004B209D">
        <w:rPr>
          <w:rFonts w:ascii="Times New Roman" w:hAnsi="Times New Roman"/>
          <w:sz w:val="20"/>
        </w:rPr>
        <w:t>R1-R2)*M2*(98</w:t>
      </w:r>
      <w:r w:rsidR="00E33C25" w:rsidRPr="004B209D">
        <w:rPr>
          <w:rFonts w:ascii="Times New Roman" w:hAnsi="Times New Roman"/>
          <w:sz w:val="20"/>
        </w:rPr>
        <w:t>-</w:t>
      </w:r>
      <w:r w:rsidR="0068385F" w:rsidRPr="004B209D">
        <w:rPr>
          <w:rFonts w:ascii="Times New Roman" w:hAnsi="Times New Roman"/>
          <w:sz w:val="20"/>
        </w:rPr>
        <w:t>45)</w:t>
      </w:r>
      <w:r w:rsidR="00E33C25" w:rsidRPr="004B209D">
        <w:rPr>
          <w:rFonts w:ascii="Times New Roman" w:hAnsi="Times New Roman"/>
          <w:sz w:val="20"/>
        </w:rPr>
        <w:t>/45</w:t>
      </w:r>
    </w:p>
    <w:p w:rsidR="00FA7A4F" w:rsidRPr="004B209D" w:rsidRDefault="00FA7A4F" w:rsidP="00254CB0">
      <w:pPr>
        <w:pBdr>
          <w:top w:val="single" w:sz="4" w:space="1" w:color="auto"/>
          <w:left w:val="single" w:sz="4" w:space="4" w:color="auto"/>
          <w:bottom w:val="single" w:sz="4" w:space="1" w:color="auto"/>
          <w:right w:val="single" w:sz="4" w:space="4" w:color="auto"/>
        </w:pBdr>
        <w:rPr>
          <w:rFonts w:ascii="Times New Roman" w:hAnsi="Times New Roman"/>
          <w:sz w:val="20"/>
        </w:rPr>
      </w:pPr>
      <w:r w:rsidRPr="004B209D">
        <w:rPr>
          <w:rFonts w:ascii="Times New Roman" w:hAnsi="Times New Roman"/>
          <w:b/>
          <w:sz w:val="20"/>
        </w:rPr>
        <w:t xml:space="preserve">Cas </w:t>
      </w:r>
      <w:r w:rsidR="0068385F" w:rsidRPr="004B209D">
        <w:rPr>
          <w:rFonts w:ascii="Times New Roman" w:hAnsi="Times New Roman"/>
          <w:b/>
          <w:sz w:val="20"/>
        </w:rPr>
        <w:t>2</w:t>
      </w:r>
      <w:r w:rsidRPr="004B209D">
        <w:rPr>
          <w:rFonts w:ascii="Times New Roman" w:hAnsi="Times New Roman"/>
          <w:b/>
          <w:sz w:val="20"/>
        </w:rPr>
        <w:t xml:space="preserve"> : </w:t>
      </w:r>
      <w:r w:rsidR="00FE39E8" w:rsidRPr="004B209D">
        <w:rPr>
          <w:rFonts w:ascii="Times New Roman" w:hAnsi="Times New Roman"/>
          <w:sz w:val="20"/>
        </w:rPr>
        <w:t xml:space="preserve">Si </w:t>
      </w:r>
      <w:r w:rsidRPr="004B209D">
        <w:rPr>
          <w:rFonts w:ascii="Times New Roman" w:hAnsi="Times New Roman"/>
          <w:sz w:val="20"/>
        </w:rPr>
        <w:t xml:space="preserve">le </w:t>
      </w:r>
      <w:r w:rsidR="00414CEF" w:rsidRPr="004B209D">
        <w:rPr>
          <w:rFonts w:ascii="Times New Roman" w:hAnsi="Times New Roman"/>
          <w:sz w:val="20"/>
        </w:rPr>
        <w:t xml:space="preserve">ratio </w:t>
      </w:r>
      <w:r w:rsidR="0068385F" w:rsidRPr="004B209D">
        <w:rPr>
          <w:rFonts w:ascii="Times New Roman" w:hAnsi="Times New Roman"/>
          <w:sz w:val="20"/>
        </w:rPr>
        <w:t xml:space="preserve">R2 </w:t>
      </w:r>
      <w:r w:rsidR="00414CEF" w:rsidRPr="004B209D">
        <w:rPr>
          <w:rFonts w:ascii="Times New Roman" w:hAnsi="Times New Roman"/>
          <w:sz w:val="20"/>
        </w:rPr>
        <w:t>en année n</w:t>
      </w:r>
      <w:r w:rsidRPr="004B209D">
        <w:rPr>
          <w:rFonts w:ascii="Times New Roman" w:hAnsi="Times New Roman"/>
          <w:sz w:val="20"/>
        </w:rPr>
        <w:t xml:space="preserve"> est supérieur ou égal au</w:t>
      </w:r>
      <w:r w:rsidR="00FE39E8" w:rsidRPr="004B209D">
        <w:rPr>
          <w:rFonts w:ascii="Times New Roman" w:hAnsi="Times New Roman"/>
          <w:sz w:val="20"/>
        </w:rPr>
        <w:t xml:space="preserve"> </w:t>
      </w:r>
      <w:r w:rsidR="00414CEF" w:rsidRPr="004B209D">
        <w:rPr>
          <w:rFonts w:ascii="Times New Roman" w:hAnsi="Times New Roman"/>
          <w:sz w:val="20"/>
        </w:rPr>
        <w:t xml:space="preserve">ratio </w:t>
      </w:r>
      <w:r w:rsidR="0068385F" w:rsidRPr="004B209D">
        <w:rPr>
          <w:rFonts w:ascii="Times New Roman" w:hAnsi="Times New Roman"/>
          <w:sz w:val="20"/>
        </w:rPr>
        <w:t xml:space="preserve">R1 </w:t>
      </w:r>
      <w:r w:rsidR="00414CEF" w:rsidRPr="004B209D">
        <w:rPr>
          <w:rFonts w:ascii="Times New Roman" w:hAnsi="Times New Roman"/>
          <w:sz w:val="20"/>
        </w:rPr>
        <w:t xml:space="preserve">en année </w:t>
      </w:r>
      <w:r w:rsidR="00C35F27" w:rsidRPr="004B209D">
        <w:rPr>
          <w:rFonts w:ascii="Times New Roman" w:hAnsi="Times New Roman"/>
          <w:sz w:val="20"/>
        </w:rPr>
        <w:t>n</w:t>
      </w:r>
      <w:r w:rsidR="00414CEF" w:rsidRPr="004B209D">
        <w:rPr>
          <w:rFonts w:ascii="Times New Roman" w:hAnsi="Times New Roman"/>
          <w:sz w:val="20"/>
        </w:rPr>
        <w:t xml:space="preserve">-1 </w:t>
      </w:r>
      <w:r w:rsidR="00FE39E8" w:rsidRPr="004B209D">
        <w:rPr>
          <w:rFonts w:ascii="Times New Roman" w:hAnsi="Times New Roman"/>
          <w:sz w:val="20"/>
        </w:rPr>
        <w:t>alors</w:t>
      </w:r>
      <w:r w:rsidRPr="004B209D">
        <w:rPr>
          <w:rFonts w:ascii="Times New Roman" w:hAnsi="Times New Roman"/>
          <w:sz w:val="20"/>
        </w:rPr>
        <w:t> :</w:t>
      </w:r>
    </w:p>
    <w:p w:rsidR="00FE39E8" w:rsidRPr="004B209D" w:rsidRDefault="00FE39E8" w:rsidP="00FA7A4F">
      <w:pPr>
        <w:pBdr>
          <w:top w:val="single" w:sz="4" w:space="1" w:color="auto"/>
          <w:left w:val="single" w:sz="4" w:space="4" w:color="auto"/>
          <w:bottom w:val="single" w:sz="4" w:space="1" w:color="auto"/>
          <w:right w:val="single" w:sz="4" w:space="4" w:color="auto"/>
        </w:pBdr>
        <w:ind w:firstLine="708"/>
        <w:jc w:val="center"/>
        <w:rPr>
          <w:rFonts w:ascii="Times New Roman" w:hAnsi="Times New Roman"/>
          <w:sz w:val="20"/>
        </w:rPr>
      </w:pPr>
      <w:r w:rsidRPr="004B209D">
        <w:rPr>
          <w:rFonts w:ascii="Times New Roman" w:hAnsi="Times New Roman"/>
          <w:sz w:val="20"/>
        </w:rPr>
        <w:t xml:space="preserve">Rémunération </w:t>
      </w:r>
      <w:r w:rsidR="00C35F27" w:rsidRPr="004B209D">
        <w:rPr>
          <w:rFonts w:ascii="Times New Roman" w:hAnsi="Times New Roman"/>
          <w:sz w:val="20"/>
        </w:rPr>
        <w:t xml:space="preserve">année </w:t>
      </w:r>
      <w:r w:rsidRPr="004B209D">
        <w:rPr>
          <w:rFonts w:ascii="Times New Roman" w:hAnsi="Times New Roman"/>
          <w:sz w:val="20"/>
        </w:rPr>
        <w:t>n = 0</w:t>
      </w:r>
    </w:p>
    <w:p w:rsidR="00254CB0" w:rsidRPr="004B209D" w:rsidRDefault="00C77604" w:rsidP="00C2538A">
      <w:pPr>
        <w:jc w:val="both"/>
        <w:rPr>
          <w:b/>
          <w:sz w:val="20"/>
        </w:rPr>
      </w:pPr>
      <w:r w:rsidRPr="004B209D">
        <w:rPr>
          <w:b/>
          <w:sz w:val="20"/>
        </w:rPr>
        <w:t xml:space="preserve">Exemple : </w:t>
      </w:r>
    </w:p>
    <w:p w:rsidR="00C77604" w:rsidRPr="004B209D" w:rsidRDefault="00EE17F5" w:rsidP="00C2538A">
      <w:pPr>
        <w:jc w:val="both"/>
        <w:rPr>
          <w:b/>
          <w:sz w:val="20"/>
        </w:rPr>
      </w:pPr>
      <w:r w:rsidRPr="004B209D">
        <w:rPr>
          <w:b/>
          <w:sz w:val="20"/>
        </w:rPr>
        <w:t>Cas</w:t>
      </w:r>
      <w:r w:rsidR="008D7A99" w:rsidRPr="004B209D">
        <w:rPr>
          <w:b/>
          <w:sz w:val="20"/>
        </w:rPr>
        <w:t xml:space="preserve"> 1 :</w:t>
      </w:r>
      <w:r w:rsidR="00050D29" w:rsidRPr="004B209D">
        <w:rPr>
          <w:b/>
          <w:sz w:val="20"/>
        </w:rPr>
        <w:t xml:space="preserve"> </w:t>
      </w:r>
      <w:r w:rsidRPr="004B209D">
        <w:rPr>
          <w:b/>
          <w:sz w:val="20"/>
        </w:rPr>
        <w:t>Cas d’un établissement dont les dépenses de transport augmentent et la part d’ambulance diminue</w:t>
      </w:r>
    </w:p>
    <w:p w:rsidR="00C77604" w:rsidRPr="004B209D" w:rsidRDefault="009A778C" w:rsidP="00CC45DF">
      <w:pPr>
        <w:jc w:val="center"/>
        <w:rPr>
          <w:b/>
          <w:sz w:val="20"/>
        </w:rPr>
      </w:pPr>
      <w:r w:rsidRPr="004B209D">
        <w:rPr>
          <w:noProof/>
          <w:sz w:val="20"/>
          <w:lang w:eastAsia="fr-FR"/>
        </w:rPr>
        <w:drawing>
          <wp:inline distT="0" distB="0" distL="0" distR="0" wp14:anchorId="3A0FFCC1" wp14:editId="12603A5A">
            <wp:extent cx="4206240" cy="1153160"/>
            <wp:effectExtent l="0" t="0" r="381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1153160"/>
                    </a:xfrm>
                    <a:prstGeom prst="rect">
                      <a:avLst/>
                    </a:prstGeom>
                    <a:noFill/>
                    <a:ln>
                      <a:noFill/>
                    </a:ln>
                  </pic:spPr>
                </pic:pic>
              </a:graphicData>
            </a:graphic>
          </wp:inline>
        </w:drawing>
      </w:r>
    </w:p>
    <w:p w:rsidR="006E35A9" w:rsidRPr="004B209D" w:rsidRDefault="006E35A9" w:rsidP="006E35A9">
      <w:pPr>
        <w:rPr>
          <w:sz w:val="20"/>
        </w:rPr>
      </w:pPr>
      <w:r w:rsidRPr="004B209D">
        <w:rPr>
          <w:sz w:val="20"/>
        </w:rPr>
        <w:t>Pour l’année</w:t>
      </w:r>
      <w:r w:rsidR="008D7A99" w:rsidRPr="004B209D">
        <w:rPr>
          <w:sz w:val="20"/>
        </w:rPr>
        <w:t xml:space="preserve"> n, </w:t>
      </w:r>
      <w:r w:rsidR="00D04037" w:rsidRPr="004B209D">
        <w:rPr>
          <w:sz w:val="20"/>
        </w:rPr>
        <w:t xml:space="preserve">et </w:t>
      </w:r>
      <w:r w:rsidR="008D7A99" w:rsidRPr="004B209D">
        <w:rPr>
          <w:sz w:val="20"/>
        </w:rPr>
        <w:t>cet établissement fictif</w:t>
      </w:r>
      <w:r w:rsidRPr="004B209D">
        <w:rPr>
          <w:sz w:val="20"/>
        </w:rPr>
        <w:t>, le résultat de l’indicateur est obtenu par la formule suivante :</w:t>
      </w:r>
    </w:p>
    <w:p w:rsidR="006E35A9" w:rsidRPr="004B209D" w:rsidRDefault="009A778C" w:rsidP="006E35A9">
      <w:pPr>
        <w:ind w:firstLine="708"/>
        <w:jc w:val="center"/>
        <w:rPr>
          <w:sz w:val="20"/>
        </w:rPr>
      </w:pPr>
      <w:r w:rsidRPr="004B209D">
        <w:rPr>
          <w:sz w:val="20"/>
        </w:rPr>
        <w:t xml:space="preserve">83 </w:t>
      </w:r>
      <w:r w:rsidR="006E35A9" w:rsidRPr="004B209D">
        <w:rPr>
          <w:sz w:val="20"/>
        </w:rPr>
        <w:t>3</w:t>
      </w:r>
      <w:r w:rsidRPr="004B209D">
        <w:rPr>
          <w:sz w:val="20"/>
        </w:rPr>
        <w:t>0</w:t>
      </w:r>
      <w:r w:rsidR="006E35A9" w:rsidRPr="004B209D">
        <w:rPr>
          <w:sz w:val="20"/>
        </w:rPr>
        <w:t xml:space="preserve">0 / </w:t>
      </w:r>
      <w:r w:rsidRPr="004B209D">
        <w:rPr>
          <w:sz w:val="20"/>
        </w:rPr>
        <w:t>139 550</w:t>
      </w:r>
      <w:r w:rsidR="006E35A9" w:rsidRPr="004B209D">
        <w:rPr>
          <w:sz w:val="20"/>
        </w:rPr>
        <w:t>=</w:t>
      </w:r>
      <w:r w:rsidRPr="004B209D">
        <w:rPr>
          <w:sz w:val="20"/>
        </w:rPr>
        <w:t>59</w:t>
      </w:r>
      <w:r w:rsidR="006E35A9" w:rsidRPr="004B209D">
        <w:rPr>
          <w:sz w:val="20"/>
        </w:rPr>
        <w:t>,7%</w:t>
      </w:r>
    </w:p>
    <w:p w:rsidR="006E35A9" w:rsidRPr="004B209D" w:rsidRDefault="006E35A9" w:rsidP="00C2538A">
      <w:pPr>
        <w:jc w:val="both"/>
        <w:rPr>
          <w:sz w:val="20"/>
        </w:rPr>
      </w:pPr>
      <w:r w:rsidRPr="004B209D">
        <w:rPr>
          <w:sz w:val="20"/>
        </w:rPr>
        <w:t xml:space="preserve">Dans notre exemple, le ratio de notre indicateur a diminué de </w:t>
      </w:r>
      <w:r w:rsidR="009A778C" w:rsidRPr="004B209D">
        <w:rPr>
          <w:sz w:val="20"/>
        </w:rPr>
        <w:t>3</w:t>
      </w:r>
      <w:r w:rsidRPr="004B209D">
        <w:rPr>
          <w:sz w:val="20"/>
        </w:rPr>
        <w:t xml:space="preserve">,8 point (63,5% à </w:t>
      </w:r>
      <w:r w:rsidR="009A778C" w:rsidRPr="004B209D">
        <w:rPr>
          <w:sz w:val="20"/>
        </w:rPr>
        <w:t>59</w:t>
      </w:r>
      <w:r w:rsidRPr="004B209D">
        <w:rPr>
          <w:sz w:val="20"/>
        </w:rPr>
        <w:t xml:space="preserve">,7%), l’établissement est donc éligible à la rémunération qui s’élèvera à </w:t>
      </w:r>
      <w:r w:rsidR="009A778C" w:rsidRPr="004B209D">
        <w:rPr>
          <w:sz w:val="20"/>
        </w:rPr>
        <w:t>1 249</w:t>
      </w:r>
      <w:r w:rsidRPr="004B209D">
        <w:rPr>
          <w:sz w:val="20"/>
        </w:rPr>
        <w:t>€.</w:t>
      </w:r>
    </w:p>
    <w:p w:rsidR="006E35A9" w:rsidRPr="004B209D" w:rsidRDefault="006E35A9" w:rsidP="00C2538A">
      <w:pPr>
        <w:jc w:val="both"/>
        <w:rPr>
          <w:sz w:val="20"/>
        </w:rPr>
      </w:pPr>
      <w:r w:rsidRPr="004B209D">
        <w:rPr>
          <w:sz w:val="20"/>
        </w:rPr>
        <w:t>Ce montant est obtenu par la formule suivante :</w:t>
      </w:r>
    </w:p>
    <w:p w:rsidR="006E35A9" w:rsidRPr="004B209D" w:rsidRDefault="006E35A9" w:rsidP="006E35A9">
      <w:pPr>
        <w:jc w:val="center"/>
        <w:rPr>
          <w:sz w:val="20"/>
        </w:rPr>
      </w:pPr>
      <w:r w:rsidRPr="004B209D">
        <w:rPr>
          <w:sz w:val="20"/>
        </w:rPr>
        <w:t xml:space="preserve">Rémunération année n = </w:t>
      </w:r>
      <w:r w:rsidR="0055382C" w:rsidRPr="004B209D">
        <w:rPr>
          <w:sz w:val="20"/>
        </w:rPr>
        <w:t xml:space="preserve">20% X </w:t>
      </w:r>
      <w:r w:rsidR="00E33C25" w:rsidRPr="004B209D">
        <w:rPr>
          <w:sz w:val="20"/>
        </w:rPr>
        <w:t>(63,5%-</w:t>
      </w:r>
      <w:r w:rsidR="009A778C" w:rsidRPr="004B209D">
        <w:rPr>
          <w:sz w:val="20"/>
        </w:rPr>
        <w:t>59</w:t>
      </w:r>
      <w:r w:rsidR="00E33C25" w:rsidRPr="004B209D">
        <w:rPr>
          <w:sz w:val="20"/>
        </w:rPr>
        <w:t>,7%</w:t>
      </w:r>
      <w:r w:rsidR="009A778C" w:rsidRPr="004B209D">
        <w:rPr>
          <w:sz w:val="20"/>
        </w:rPr>
        <w:t>)</w:t>
      </w:r>
      <w:r w:rsidR="00E33C25" w:rsidRPr="004B209D">
        <w:rPr>
          <w:sz w:val="20"/>
        </w:rPr>
        <w:t>*1</w:t>
      </w:r>
      <w:r w:rsidR="009A778C" w:rsidRPr="004B209D">
        <w:rPr>
          <w:sz w:val="20"/>
        </w:rPr>
        <w:t>39 550</w:t>
      </w:r>
      <w:r w:rsidR="00E33C25" w:rsidRPr="004B209D">
        <w:rPr>
          <w:sz w:val="20"/>
        </w:rPr>
        <w:t>*</w:t>
      </w:r>
      <w:r w:rsidR="0055382C" w:rsidRPr="004B209D">
        <w:rPr>
          <w:sz w:val="20"/>
        </w:rPr>
        <w:t>(98-45)</w:t>
      </w:r>
      <w:r w:rsidR="00E33C25" w:rsidRPr="004B209D">
        <w:rPr>
          <w:sz w:val="20"/>
        </w:rPr>
        <w:t>/45</w:t>
      </w:r>
      <w:r w:rsidRPr="004B209D">
        <w:rPr>
          <w:sz w:val="20"/>
        </w:rPr>
        <w:t xml:space="preserve"> = </w:t>
      </w:r>
      <w:r w:rsidR="009A778C" w:rsidRPr="004B209D">
        <w:rPr>
          <w:sz w:val="20"/>
        </w:rPr>
        <w:t>1 249</w:t>
      </w:r>
      <w:r w:rsidRPr="004B209D">
        <w:rPr>
          <w:sz w:val="20"/>
        </w:rPr>
        <w:t>€</w:t>
      </w:r>
    </w:p>
    <w:p w:rsidR="008D7A99" w:rsidRPr="004B209D" w:rsidRDefault="008D7A99" w:rsidP="006E35A9">
      <w:pPr>
        <w:jc w:val="center"/>
        <w:rPr>
          <w:sz w:val="20"/>
        </w:rPr>
      </w:pPr>
    </w:p>
    <w:p w:rsidR="00EE17F5" w:rsidRPr="004B209D" w:rsidRDefault="00EE17F5" w:rsidP="00EE17F5">
      <w:pPr>
        <w:jc w:val="both"/>
        <w:rPr>
          <w:b/>
          <w:sz w:val="20"/>
        </w:rPr>
      </w:pPr>
      <w:r w:rsidRPr="004B209D">
        <w:rPr>
          <w:b/>
          <w:sz w:val="20"/>
        </w:rPr>
        <w:lastRenderedPageBreak/>
        <w:t>Cas 2 : Cas d’un établissement dont les dépenses de transport diminuent et la part d’ambulance diminue</w:t>
      </w:r>
    </w:p>
    <w:p w:rsidR="008D7A99" w:rsidRPr="004B209D" w:rsidRDefault="009A778C" w:rsidP="006E35A9">
      <w:pPr>
        <w:jc w:val="center"/>
        <w:rPr>
          <w:sz w:val="20"/>
        </w:rPr>
      </w:pPr>
      <w:r w:rsidRPr="004B209D">
        <w:rPr>
          <w:noProof/>
          <w:sz w:val="20"/>
          <w:lang w:eastAsia="fr-FR"/>
        </w:rPr>
        <w:drawing>
          <wp:inline distT="0" distB="0" distL="0" distR="0" wp14:anchorId="0D089EEE" wp14:editId="1EC5CBE2">
            <wp:extent cx="4206240" cy="1153160"/>
            <wp:effectExtent l="0" t="0" r="381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1153160"/>
                    </a:xfrm>
                    <a:prstGeom prst="rect">
                      <a:avLst/>
                    </a:prstGeom>
                    <a:noFill/>
                    <a:ln>
                      <a:noFill/>
                    </a:ln>
                  </pic:spPr>
                </pic:pic>
              </a:graphicData>
            </a:graphic>
          </wp:inline>
        </w:drawing>
      </w:r>
    </w:p>
    <w:p w:rsidR="008D7A99" w:rsidRPr="004B209D" w:rsidRDefault="008D7A99" w:rsidP="008D7A99">
      <w:pPr>
        <w:jc w:val="both"/>
        <w:rPr>
          <w:sz w:val="20"/>
        </w:rPr>
      </w:pPr>
    </w:p>
    <w:p w:rsidR="008D7A99" w:rsidRPr="004B209D" w:rsidRDefault="008D7A99" w:rsidP="008D7A99">
      <w:pPr>
        <w:jc w:val="both"/>
        <w:rPr>
          <w:sz w:val="20"/>
        </w:rPr>
      </w:pPr>
      <w:r w:rsidRPr="004B209D">
        <w:rPr>
          <w:sz w:val="20"/>
        </w:rPr>
        <w:t xml:space="preserve">Pour l’année n, </w:t>
      </w:r>
      <w:r w:rsidR="00D04037" w:rsidRPr="004B209D">
        <w:rPr>
          <w:sz w:val="20"/>
        </w:rPr>
        <w:t xml:space="preserve">et </w:t>
      </w:r>
      <w:r w:rsidRPr="004B209D">
        <w:rPr>
          <w:sz w:val="20"/>
        </w:rPr>
        <w:t>cet établissement fictif, le résultat de l’indicateur est obtenu par la formule suivante :</w:t>
      </w:r>
    </w:p>
    <w:p w:rsidR="008D7A99" w:rsidRPr="004B209D" w:rsidRDefault="009A778C" w:rsidP="006D13CB">
      <w:pPr>
        <w:ind w:firstLine="708"/>
        <w:jc w:val="center"/>
        <w:rPr>
          <w:sz w:val="20"/>
        </w:rPr>
      </w:pPr>
      <w:r w:rsidRPr="004B209D">
        <w:rPr>
          <w:sz w:val="20"/>
        </w:rPr>
        <w:t>88</w:t>
      </w:r>
      <w:r w:rsidR="008D7A99" w:rsidRPr="004B209D">
        <w:rPr>
          <w:sz w:val="20"/>
        </w:rPr>
        <w:t xml:space="preserve"> </w:t>
      </w:r>
      <w:r w:rsidRPr="004B209D">
        <w:rPr>
          <w:sz w:val="20"/>
        </w:rPr>
        <w:t>2</w:t>
      </w:r>
      <w:r w:rsidR="008D7A99" w:rsidRPr="004B209D">
        <w:rPr>
          <w:sz w:val="20"/>
        </w:rPr>
        <w:t xml:space="preserve">00/ </w:t>
      </w:r>
      <w:r w:rsidRPr="004B209D">
        <w:rPr>
          <w:sz w:val="20"/>
        </w:rPr>
        <w:t xml:space="preserve">128 700 </w:t>
      </w:r>
      <w:r w:rsidR="008D7A99" w:rsidRPr="004B209D">
        <w:rPr>
          <w:sz w:val="20"/>
        </w:rPr>
        <w:t>=</w:t>
      </w:r>
      <w:r w:rsidRPr="004B209D">
        <w:rPr>
          <w:sz w:val="20"/>
        </w:rPr>
        <w:t xml:space="preserve"> 68,5</w:t>
      </w:r>
      <w:r w:rsidR="008D7A99" w:rsidRPr="004B209D">
        <w:rPr>
          <w:sz w:val="20"/>
        </w:rPr>
        <w:t>%</w:t>
      </w:r>
    </w:p>
    <w:p w:rsidR="008D7A99" w:rsidRPr="004B209D" w:rsidRDefault="008D7A99" w:rsidP="008D7A99">
      <w:pPr>
        <w:jc w:val="both"/>
        <w:rPr>
          <w:sz w:val="20"/>
        </w:rPr>
      </w:pPr>
      <w:r w:rsidRPr="004B209D">
        <w:rPr>
          <w:sz w:val="20"/>
        </w:rPr>
        <w:t xml:space="preserve">Dans notre exemple, le ratio de notre indicateur a diminué de </w:t>
      </w:r>
      <w:r w:rsidR="009A778C" w:rsidRPr="004B209D">
        <w:rPr>
          <w:sz w:val="20"/>
        </w:rPr>
        <w:t>4</w:t>
      </w:r>
      <w:r w:rsidRPr="004B209D">
        <w:rPr>
          <w:sz w:val="20"/>
        </w:rPr>
        <w:t>,</w:t>
      </w:r>
      <w:r w:rsidR="009A778C" w:rsidRPr="004B209D">
        <w:rPr>
          <w:sz w:val="20"/>
        </w:rPr>
        <w:t>6</w:t>
      </w:r>
      <w:r w:rsidR="006D13CB" w:rsidRPr="004B209D">
        <w:rPr>
          <w:sz w:val="20"/>
        </w:rPr>
        <w:t xml:space="preserve"> point</w:t>
      </w:r>
      <w:r w:rsidR="009A778C" w:rsidRPr="004B209D">
        <w:rPr>
          <w:sz w:val="20"/>
        </w:rPr>
        <w:t>s</w:t>
      </w:r>
      <w:r w:rsidR="006D13CB" w:rsidRPr="004B209D">
        <w:rPr>
          <w:sz w:val="20"/>
        </w:rPr>
        <w:t xml:space="preserve"> (</w:t>
      </w:r>
      <w:r w:rsidR="009A778C" w:rsidRPr="004B209D">
        <w:rPr>
          <w:sz w:val="20"/>
        </w:rPr>
        <w:t>73</w:t>
      </w:r>
      <w:r w:rsidRPr="004B209D">
        <w:rPr>
          <w:sz w:val="20"/>
        </w:rPr>
        <w:t>,</w:t>
      </w:r>
      <w:r w:rsidR="009A778C" w:rsidRPr="004B209D">
        <w:rPr>
          <w:sz w:val="20"/>
        </w:rPr>
        <w:t>1</w:t>
      </w:r>
      <w:r w:rsidRPr="004B209D">
        <w:rPr>
          <w:sz w:val="20"/>
        </w:rPr>
        <w:t xml:space="preserve">% à </w:t>
      </w:r>
      <w:r w:rsidR="009A778C" w:rsidRPr="004B209D">
        <w:rPr>
          <w:sz w:val="20"/>
        </w:rPr>
        <w:t>6</w:t>
      </w:r>
      <w:r w:rsidR="00050D29" w:rsidRPr="004B209D">
        <w:rPr>
          <w:sz w:val="20"/>
        </w:rPr>
        <w:t>8</w:t>
      </w:r>
      <w:r w:rsidR="006D13CB" w:rsidRPr="004B209D">
        <w:rPr>
          <w:sz w:val="20"/>
        </w:rPr>
        <w:t>,</w:t>
      </w:r>
      <w:r w:rsidR="009A778C" w:rsidRPr="004B209D">
        <w:rPr>
          <w:sz w:val="20"/>
        </w:rPr>
        <w:t>5</w:t>
      </w:r>
      <w:r w:rsidRPr="004B209D">
        <w:rPr>
          <w:sz w:val="20"/>
        </w:rPr>
        <w:t xml:space="preserve">%), l’établissement est donc éligible à la rémunération qui s’élèvera à </w:t>
      </w:r>
      <w:r w:rsidR="00050D29" w:rsidRPr="004B209D">
        <w:rPr>
          <w:sz w:val="20"/>
        </w:rPr>
        <w:t xml:space="preserve">1 </w:t>
      </w:r>
      <w:r w:rsidR="009A778C" w:rsidRPr="004B209D">
        <w:rPr>
          <w:sz w:val="20"/>
        </w:rPr>
        <w:t>395</w:t>
      </w:r>
      <w:r w:rsidRPr="004B209D">
        <w:rPr>
          <w:sz w:val="20"/>
        </w:rPr>
        <w:t>€.</w:t>
      </w:r>
    </w:p>
    <w:p w:rsidR="008D7A99" w:rsidRPr="004B209D" w:rsidRDefault="008D7A99" w:rsidP="008D7A99">
      <w:pPr>
        <w:jc w:val="both"/>
        <w:rPr>
          <w:sz w:val="20"/>
        </w:rPr>
      </w:pPr>
      <w:r w:rsidRPr="004B209D">
        <w:rPr>
          <w:sz w:val="20"/>
        </w:rPr>
        <w:t>Ce montant est obtenu par la formule suivante :</w:t>
      </w:r>
    </w:p>
    <w:p w:rsidR="008D7A99" w:rsidRPr="004B209D" w:rsidRDefault="008D7A99" w:rsidP="006D13CB">
      <w:pPr>
        <w:jc w:val="center"/>
        <w:rPr>
          <w:sz w:val="20"/>
        </w:rPr>
      </w:pPr>
      <w:r w:rsidRPr="004B209D">
        <w:rPr>
          <w:sz w:val="20"/>
        </w:rPr>
        <w:t xml:space="preserve">Rémunération année n = </w:t>
      </w:r>
      <w:r w:rsidR="00EE17F5" w:rsidRPr="004B209D">
        <w:rPr>
          <w:sz w:val="20"/>
        </w:rPr>
        <w:t>20% X (</w:t>
      </w:r>
      <w:r w:rsidR="009A778C" w:rsidRPr="004B209D">
        <w:rPr>
          <w:sz w:val="20"/>
        </w:rPr>
        <w:t>73</w:t>
      </w:r>
      <w:r w:rsidR="00EE17F5" w:rsidRPr="004B209D">
        <w:rPr>
          <w:sz w:val="20"/>
        </w:rPr>
        <w:t>,</w:t>
      </w:r>
      <w:r w:rsidR="009A778C" w:rsidRPr="004B209D">
        <w:rPr>
          <w:sz w:val="20"/>
        </w:rPr>
        <w:t>1</w:t>
      </w:r>
      <w:r w:rsidR="00EE17F5" w:rsidRPr="004B209D">
        <w:rPr>
          <w:sz w:val="20"/>
        </w:rPr>
        <w:t>%-</w:t>
      </w:r>
      <w:r w:rsidR="009A778C" w:rsidRPr="004B209D">
        <w:rPr>
          <w:sz w:val="20"/>
        </w:rPr>
        <w:t>68</w:t>
      </w:r>
      <w:r w:rsidR="00EE17F5" w:rsidRPr="004B209D">
        <w:rPr>
          <w:sz w:val="20"/>
        </w:rPr>
        <w:t>,</w:t>
      </w:r>
      <w:r w:rsidR="009A778C" w:rsidRPr="004B209D">
        <w:rPr>
          <w:sz w:val="20"/>
        </w:rPr>
        <w:t>5</w:t>
      </w:r>
      <w:r w:rsidR="00EE17F5" w:rsidRPr="004B209D">
        <w:rPr>
          <w:sz w:val="20"/>
        </w:rPr>
        <w:t>%)*1</w:t>
      </w:r>
      <w:r w:rsidR="009A778C" w:rsidRPr="004B209D">
        <w:rPr>
          <w:sz w:val="20"/>
        </w:rPr>
        <w:t>28 700</w:t>
      </w:r>
      <w:r w:rsidR="00EE17F5" w:rsidRPr="004B209D">
        <w:rPr>
          <w:sz w:val="20"/>
        </w:rPr>
        <w:t xml:space="preserve">*(98-45)/45 </w:t>
      </w:r>
      <w:r w:rsidRPr="004B209D">
        <w:rPr>
          <w:sz w:val="20"/>
        </w:rPr>
        <w:t xml:space="preserve"> = </w:t>
      </w:r>
      <w:r w:rsidR="00050D29" w:rsidRPr="004B209D">
        <w:rPr>
          <w:sz w:val="20"/>
        </w:rPr>
        <w:t>1</w:t>
      </w:r>
      <w:r w:rsidR="009A778C" w:rsidRPr="004B209D">
        <w:rPr>
          <w:sz w:val="20"/>
        </w:rPr>
        <w:t xml:space="preserve"> </w:t>
      </w:r>
      <w:r w:rsidR="00EE17F5" w:rsidRPr="004B209D">
        <w:rPr>
          <w:sz w:val="20"/>
        </w:rPr>
        <w:t>39</w:t>
      </w:r>
      <w:r w:rsidR="009A778C" w:rsidRPr="004B209D">
        <w:rPr>
          <w:sz w:val="20"/>
        </w:rPr>
        <w:t>5</w:t>
      </w:r>
      <w:r w:rsidR="007D2FF4" w:rsidRPr="004B209D">
        <w:rPr>
          <w:sz w:val="20"/>
        </w:rPr>
        <w:t xml:space="preserve"> </w:t>
      </w:r>
      <w:r w:rsidRPr="004B209D">
        <w:rPr>
          <w:sz w:val="20"/>
        </w:rPr>
        <w:t>€</w:t>
      </w:r>
    </w:p>
    <w:p w:rsidR="00EE17F5" w:rsidRPr="004B209D" w:rsidRDefault="00EE17F5" w:rsidP="00EE17F5">
      <w:pPr>
        <w:jc w:val="both"/>
        <w:rPr>
          <w:b/>
          <w:sz w:val="20"/>
        </w:rPr>
      </w:pPr>
      <w:r w:rsidRPr="004B209D">
        <w:rPr>
          <w:b/>
          <w:sz w:val="20"/>
        </w:rPr>
        <w:t>Cas 3</w:t>
      </w:r>
      <w:r w:rsidR="00050D29" w:rsidRPr="004B209D">
        <w:rPr>
          <w:b/>
          <w:sz w:val="20"/>
        </w:rPr>
        <w:t xml:space="preserve"> : </w:t>
      </w:r>
      <w:r w:rsidRPr="004B209D">
        <w:rPr>
          <w:b/>
          <w:sz w:val="20"/>
        </w:rPr>
        <w:t>Cas d’un établissement dont la part d’ambulance augmente</w:t>
      </w:r>
    </w:p>
    <w:p w:rsidR="00050D29" w:rsidRPr="004B209D" w:rsidRDefault="00050D29" w:rsidP="00050D29">
      <w:pPr>
        <w:rPr>
          <w:b/>
          <w:sz w:val="20"/>
        </w:rPr>
      </w:pPr>
    </w:p>
    <w:p w:rsidR="008D7A99" w:rsidRPr="004B209D" w:rsidRDefault="00050D29" w:rsidP="006E35A9">
      <w:pPr>
        <w:jc w:val="center"/>
        <w:rPr>
          <w:sz w:val="20"/>
        </w:rPr>
      </w:pPr>
      <w:r w:rsidRPr="004B209D">
        <w:rPr>
          <w:noProof/>
          <w:sz w:val="20"/>
          <w:lang w:eastAsia="fr-FR"/>
        </w:rPr>
        <w:drawing>
          <wp:inline distT="0" distB="0" distL="0" distR="0" wp14:anchorId="0E0C0FD7" wp14:editId="7FC85716">
            <wp:extent cx="3768725" cy="1924050"/>
            <wp:effectExtent l="0" t="0" r="3175"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725" cy="1924050"/>
                    </a:xfrm>
                    <a:prstGeom prst="rect">
                      <a:avLst/>
                    </a:prstGeom>
                    <a:noFill/>
                    <a:ln>
                      <a:noFill/>
                    </a:ln>
                  </pic:spPr>
                </pic:pic>
              </a:graphicData>
            </a:graphic>
          </wp:inline>
        </w:drawing>
      </w:r>
    </w:p>
    <w:p w:rsidR="00050D29" w:rsidRPr="004B209D" w:rsidRDefault="00050D29" w:rsidP="00050D29">
      <w:pPr>
        <w:jc w:val="both"/>
        <w:rPr>
          <w:sz w:val="20"/>
        </w:rPr>
      </w:pPr>
      <w:r w:rsidRPr="004B209D">
        <w:rPr>
          <w:sz w:val="20"/>
        </w:rPr>
        <w:t>Pour l’année n, le résultat de l’indicateur pour cet établissement fictif, est obtenu par la formule suivante :</w:t>
      </w:r>
    </w:p>
    <w:p w:rsidR="00050D29" w:rsidRPr="004B209D" w:rsidRDefault="00050D29" w:rsidP="00050D29">
      <w:pPr>
        <w:ind w:firstLine="708"/>
        <w:jc w:val="center"/>
        <w:rPr>
          <w:sz w:val="20"/>
        </w:rPr>
      </w:pPr>
      <w:r w:rsidRPr="004B209D">
        <w:rPr>
          <w:sz w:val="20"/>
        </w:rPr>
        <w:t xml:space="preserve">84 000/ </w:t>
      </w:r>
      <w:r w:rsidR="009A778C" w:rsidRPr="004B209D">
        <w:rPr>
          <w:sz w:val="20"/>
        </w:rPr>
        <w:t>190 000</w:t>
      </w:r>
      <w:r w:rsidRPr="004B209D">
        <w:rPr>
          <w:sz w:val="20"/>
        </w:rPr>
        <w:t>=44,2%</w:t>
      </w:r>
    </w:p>
    <w:p w:rsidR="00050D29" w:rsidRPr="004B209D" w:rsidRDefault="00050D29" w:rsidP="00050D29">
      <w:pPr>
        <w:jc w:val="both"/>
        <w:rPr>
          <w:sz w:val="20"/>
        </w:rPr>
      </w:pPr>
      <w:r w:rsidRPr="004B209D">
        <w:rPr>
          <w:sz w:val="20"/>
        </w:rPr>
        <w:t>Dans notre exemple, le ratio de notre indicateur a augmenté de 0,8 point (43,4% à 44,2%), l’établissement n’est donc pas éligible à la rémunération.</w:t>
      </w:r>
    </w:p>
    <w:p w:rsidR="00B03CF0" w:rsidRPr="004B209D" w:rsidRDefault="00050D29" w:rsidP="00EA5DFF">
      <w:pPr>
        <w:jc w:val="both"/>
        <w:rPr>
          <w:sz w:val="20"/>
        </w:rPr>
      </w:pPr>
      <w:r w:rsidRPr="004B209D">
        <w:rPr>
          <w:sz w:val="20"/>
        </w:rPr>
        <w:t>Au niveau national, l</w:t>
      </w:r>
      <w:r w:rsidR="00383A8B" w:rsidRPr="004B209D">
        <w:rPr>
          <w:sz w:val="20"/>
        </w:rPr>
        <w:t xml:space="preserve">’amélioration de ce ratio revêt des enjeux économiques particulièrement forts puisque la substitution de 1% des trajets actuellement réalisés par des ambulances en TAP se traduirait par une économie de 10 M€ </w:t>
      </w:r>
      <w:r w:rsidR="000D7830" w:rsidRPr="004B209D">
        <w:rPr>
          <w:sz w:val="20"/>
        </w:rPr>
        <w:t xml:space="preserve">en année pleine </w:t>
      </w:r>
      <w:r w:rsidR="00383A8B" w:rsidRPr="004B209D">
        <w:rPr>
          <w:sz w:val="20"/>
        </w:rPr>
        <w:t>pour l’Assurance maladie</w:t>
      </w:r>
      <w:r w:rsidR="000D7830" w:rsidRPr="004B209D">
        <w:rPr>
          <w:rStyle w:val="Appelnotedebasdep"/>
          <w:sz w:val="20"/>
        </w:rPr>
        <w:footnoteReference w:id="3"/>
      </w:r>
      <w:r w:rsidR="00383A8B" w:rsidRPr="004B209D">
        <w:rPr>
          <w:sz w:val="20"/>
        </w:rPr>
        <w:t>.</w:t>
      </w:r>
      <w:r w:rsidR="008D27A1" w:rsidRPr="004B209D">
        <w:rPr>
          <w:sz w:val="20"/>
        </w:rPr>
        <w:t xml:space="preserve"> Pour mémoire, les économies envisagées</w:t>
      </w:r>
      <w:r w:rsidR="008F3A9F" w:rsidRPr="004B209D">
        <w:rPr>
          <w:sz w:val="20"/>
        </w:rPr>
        <w:t xml:space="preserve"> pour l’année 2020</w:t>
      </w:r>
      <w:r w:rsidR="008D27A1" w:rsidRPr="004B209D">
        <w:rPr>
          <w:sz w:val="20"/>
        </w:rPr>
        <w:t xml:space="preserve"> sur le poste transports s’élèvent à 160 M€ dont 50M€ sur la substitution vers le TAP.</w:t>
      </w:r>
    </w:p>
    <w:p w:rsidR="00182AA1" w:rsidRPr="004B209D" w:rsidRDefault="00182AA1" w:rsidP="00182AA1">
      <w:pPr>
        <w:jc w:val="both"/>
        <w:rPr>
          <w:b/>
          <w:sz w:val="20"/>
        </w:rPr>
      </w:pPr>
      <w:r w:rsidRPr="004B209D">
        <w:rPr>
          <w:b/>
          <w:sz w:val="20"/>
        </w:rPr>
        <w:t>4 / Le ciblage des établissements</w:t>
      </w:r>
    </w:p>
    <w:p w:rsidR="00960A51" w:rsidRPr="004B209D" w:rsidRDefault="00960A51" w:rsidP="00182AA1">
      <w:pPr>
        <w:jc w:val="both"/>
        <w:rPr>
          <w:rFonts w:ascii="Times New Roman" w:hAnsi="Times New Roman"/>
          <w:sz w:val="20"/>
        </w:rPr>
      </w:pPr>
      <w:r w:rsidRPr="004B209D">
        <w:rPr>
          <w:rFonts w:ascii="Times New Roman" w:hAnsi="Times New Roman"/>
          <w:sz w:val="20"/>
        </w:rPr>
        <w:lastRenderedPageBreak/>
        <w:t>Les établissements ciblés sont les établissements (Finess géographiques) prescrivant beaucoup de transport en ambulance, à la fois en montants remboursés (plus de 200 000 euros en remboursé ambulance - tous régimes - sur le 1</w:t>
      </w:r>
      <w:r w:rsidRPr="004B209D">
        <w:rPr>
          <w:rFonts w:ascii="Times New Roman" w:hAnsi="Times New Roman"/>
          <w:sz w:val="20"/>
          <w:vertAlign w:val="superscript"/>
        </w:rPr>
        <w:t>er</w:t>
      </w:r>
      <w:r w:rsidRPr="004B209D">
        <w:rPr>
          <w:rFonts w:ascii="Times New Roman" w:hAnsi="Times New Roman"/>
          <w:sz w:val="20"/>
        </w:rPr>
        <w:t xml:space="preserve"> semestre 2019) et en part d’ambulance dans le total transport (part de l’ambulance dans le total (ambulance + Taxi + VSL) supérieur ou égal à 20%).</w:t>
      </w:r>
    </w:p>
    <w:p w:rsidR="00960A51" w:rsidRPr="004B209D" w:rsidRDefault="00AE5070" w:rsidP="00182AA1">
      <w:pPr>
        <w:jc w:val="both"/>
        <w:rPr>
          <w:rFonts w:ascii="Times New Roman" w:hAnsi="Times New Roman"/>
          <w:sz w:val="20"/>
        </w:rPr>
      </w:pPr>
      <w:r w:rsidRPr="004B209D">
        <w:rPr>
          <w:rFonts w:ascii="Times New Roman" w:hAnsi="Times New Roman"/>
          <w:sz w:val="20"/>
        </w:rPr>
        <w:t xml:space="preserve">Au </w:t>
      </w:r>
      <w:r w:rsidR="00960A51" w:rsidRPr="004B209D">
        <w:rPr>
          <w:rFonts w:ascii="Times New Roman" w:hAnsi="Times New Roman"/>
          <w:sz w:val="20"/>
        </w:rPr>
        <w:t>total 350 établissements</w:t>
      </w:r>
      <w:r w:rsidRPr="004B209D">
        <w:rPr>
          <w:rFonts w:ascii="Times New Roman" w:hAnsi="Times New Roman"/>
          <w:sz w:val="20"/>
        </w:rPr>
        <w:t xml:space="preserve"> sont ciblés qui représentent sur le premier semestre 2019, 262 millions d’€ de dépenses en ambulance, soit 74,5% du montant total d’ambulance prescrit pas mes établissements.  </w:t>
      </w:r>
      <w:r w:rsidR="00960A51" w:rsidRPr="004B209D">
        <w:rPr>
          <w:rFonts w:ascii="Times New Roman" w:hAnsi="Times New Roman"/>
          <w:sz w:val="20"/>
        </w:rPr>
        <w:t>.</w:t>
      </w:r>
    </w:p>
    <w:p w:rsidR="00182AA1" w:rsidRPr="004B209D" w:rsidRDefault="00182AA1" w:rsidP="00EA5DFF">
      <w:pPr>
        <w:jc w:val="both"/>
        <w:rPr>
          <w:sz w:val="20"/>
        </w:rPr>
      </w:pPr>
    </w:p>
    <w:sectPr w:rsidR="00182AA1" w:rsidRPr="004B209D" w:rsidSect="00F31FA0">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D2" w:rsidRDefault="006804D2" w:rsidP="00205D65">
      <w:pPr>
        <w:spacing w:after="0" w:line="240" w:lineRule="auto"/>
      </w:pPr>
      <w:r>
        <w:separator/>
      </w:r>
    </w:p>
  </w:endnote>
  <w:endnote w:type="continuationSeparator" w:id="0">
    <w:p w:rsidR="006804D2" w:rsidRDefault="006804D2" w:rsidP="0020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A1" w:rsidRDefault="00AF3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D8" w:rsidRDefault="00BD6B43">
    <w:pPr>
      <w:pStyle w:val="Pieddepage"/>
      <w:jc w:val="right"/>
    </w:pPr>
    <w:r>
      <w:tab/>
    </w:r>
    <w:r w:rsidR="003175F2" w:rsidRPr="001466D8">
      <w:rPr>
        <w:sz w:val="20"/>
      </w:rPr>
      <w:t>Octobre</w:t>
    </w:r>
    <w:r w:rsidRPr="001466D8">
      <w:rPr>
        <w:sz w:val="20"/>
      </w:rPr>
      <w:t xml:space="preserve"> 2019</w:t>
    </w:r>
    <w:r w:rsidR="00D479D8">
      <w:tab/>
    </w:r>
    <w:r w:rsidR="00D479D8">
      <w:tab/>
    </w:r>
    <w:r w:rsidR="00D479D8">
      <w:fldChar w:fldCharType="begin"/>
    </w:r>
    <w:r w:rsidR="00D479D8">
      <w:instrText>PAGE   \* MERGEFORMAT</w:instrText>
    </w:r>
    <w:r w:rsidR="00D479D8">
      <w:fldChar w:fldCharType="separate"/>
    </w:r>
    <w:r w:rsidR="00F31FA0">
      <w:rPr>
        <w:noProof/>
      </w:rPr>
      <w:t>2</w:t>
    </w:r>
    <w:r w:rsidR="00D479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A1" w:rsidRDefault="00AF3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D2" w:rsidRDefault="006804D2" w:rsidP="00205D65">
      <w:pPr>
        <w:spacing w:after="0" w:line="240" w:lineRule="auto"/>
      </w:pPr>
      <w:r>
        <w:separator/>
      </w:r>
    </w:p>
  </w:footnote>
  <w:footnote w:type="continuationSeparator" w:id="0">
    <w:p w:rsidR="006804D2" w:rsidRDefault="006804D2" w:rsidP="00205D65">
      <w:pPr>
        <w:spacing w:after="0" w:line="240" w:lineRule="auto"/>
      </w:pPr>
      <w:r>
        <w:continuationSeparator/>
      </w:r>
    </w:p>
  </w:footnote>
  <w:footnote w:id="1">
    <w:p w:rsidR="00FD621D" w:rsidRDefault="00FD621D" w:rsidP="00FD621D">
      <w:pPr>
        <w:pStyle w:val="Notedebasdepage"/>
      </w:pPr>
      <w:r>
        <w:rPr>
          <w:rStyle w:val="Appelnotedebasdep"/>
        </w:rPr>
        <w:footnoteRef/>
      </w:r>
      <w:r>
        <w:t xml:space="preserve"> Données 2015</w:t>
      </w:r>
    </w:p>
  </w:footnote>
  <w:footnote w:id="2">
    <w:p w:rsidR="00782DCC" w:rsidRDefault="00782DCC" w:rsidP="00782DCC">
      <w:pPr>
        <w:pStyle w:val="Notedebasdepage"/>
        <w:spacing w:after="0"/>
      </w:pPr>
      <w:r>
        <w:rPr>
          <w:rStyle w:val="Appelnotedebasdep"/>
        </w:rPr>
        <w:footnoteRef/>
      </w:r>
      <w:r>
        <w:t xml:space="preserve"> Hors TUPH</w:t>
      </w:r>
    </w:p>
  </w:footnote>
  <w:footnote w:id="3">
    <w:p w:rsidR="000D7830" w:rsidRDefault="000D7830">
      <w:pPr>
        <w:pStyle w:val="Notedebasdepage"/>
      </w:pPr>
      <w:r>
        <w:rPr>
          <w:rStyle w:val="Appelnotedebasdep"/>
        </w:rPr>
        <w:footnoteRef/>
      </w:r>
      <w:r>
        <w:t xml:space="preserve"> Sur la base des données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A1" w:rsidRDefault="00AF34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AB" w:rsidRDefault="00AF34A1">
    <w:pPr>
      <w:pStyle w:val="En-tt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A1" w:rsidRDefault="00F31FA0">
    <w:pPr>
      <w:pStyle w:val="En-tte"/>
    </w:pPr>
    <w:r>
      <w:rPr>
        <w:noProof/>
        <w:lang w:eastAsia="fr-FR"/>
      </w:rPr>
      <w:drawing>
        <wp:inline distT="0" distB="0" distL="0" distR="0" wp14:anchorId="6F5952C6" wp14:editId="50C95ADB">
          <wp:extent cx="1105200" cy="630000"/>
          <wp:effectExtent l="0" t="0" r="0" b="0"/>
          <wp:docPr id="1" name="Picture 245" descr="logo_Diap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5" descr="logo_Diapora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200" cy="630000"/>
                  </a:xfrm>
                  <a:prstGeom prst="rect">
                    <a:avLst/>
                  </a:prstGeom>
                  <a:noFill/>
                  <a:ln>
                    <a:noFill/>
                  </a:ln>
                  <a:extLst/>
                </pic:spPr>
              </pic:pic>
            </a:graphicData>
          </a:graphic>
        </wp:inline>
      </w:drawing>
    </w:r>
    <w:r w:rsidRPr="00F31FA0">
      <w:t xml:space="preserve"> </w:t>
    </w:r>
    <w:r>
      <w:tab/>
    </w:r>
    <w:bookmarkStart w:id="0" w:name="_GoBack"/>
    <w:bookmarkEnd w:id="0"/>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6E6"/>
    <w:multiLevelType w:val="hybridMultilevel"/>
    <w:tmpl w:val="858CC102"/>
    <w:lvl w:ilvl="0" w:tplc="D8C20F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34552A"/>
    <w:multiLevelType w:val="hybridMultilevel"/>
    <w:tmpl w:val="DCE4D790"/>
    <w:lvl w:ilvl="0" w:tplc="58448E28">
      <w:start w:val="1"/>
      <w:numFmt w:val="bullet"/>
      <w:lvlText w:val=""/>
      <w:lvlJc w:val="left"/>
      <w:pPr>
        <w:tabs>
          <w:tab w:val="num" w:pos="720"/>
        </w:tabs>
        <w:ind w:left="720" w:hanging="360"/>
      </w:pPr>
      <w:rPr>
        <w:rFonts w:ascii="Wingdings" w:hAnsi="Wingdings" w:hint="default"/>
      </w:rPr>
    </w:lvl>
    <w:lvl w:ilvl="1" w:tplc="25FC81AE">
      <w:start w:val="1270"/>
      <w:numFmt w:val="bullet"/>
      <w:lvlText w:val=""/>
      <w:lvlJc w:val="left"/>
      <w:pPr>
        <w:tabs>
          <w:tab w:val="num" w:pos="1440"/>
        </w:tabs>
        <w:ind w:left="1440" w:hanging="360"/>
      </w:pPr>
      <w:rPr>
        <w:rFonts w:ascii="Wingdings" w:hAnsi="Wingdings" w:hint="default"/>
      </w:rPr>
    </w:lvl>
    <w:lvl w:ilvl="2" w:tplc="58AC40FA" w:tentative="1">
      <w:start w:val="1"/>
      <w:numFmt w:val="bullet"/>
      <w:lvlText w:val=""/>
      <w:lvlJc w:val="left"/>
      <w:pPr>
        <w:tabs>
          <w:tab w:val="num" w:pos="2160"/>
        </w:tabs>
        <w:ind w:left="2160" w:hanging="360"/>
      </w:pPr>
      <w:rPr>
        <w:rFonts w:ascii="Wingdings" w:hAnsi="Wingdings" w:hint="default"/>
      </w:rPr>
    </w:lvl>
    <w:lvl w:ilvl="3" w:tplc="138E8818" w:tentative="1">
      <w:start w:val="1"/>
      <w:numFmt w:val="bullet"/>
      <w:lvlText w:val=""/>
      <w:lvlJc w:val="left"/>
      <w:pPr>
        <w:tabs>
          <w:tab w:val="num" w:pos="2880"/>
        </w:tabs>
        <w:ind w:left="2880" w:hanging="360"/>
      </w:pPr>
      <w:rPr>
        <w:rFonts w:ascii="Wingdings" w:hAnsi="Wingdings" w:hint="default"/>
      </w:rPr>
    </w:lvl>
    <w:lvl w:ilvl="4" w:tplc="7B7002D4" w:tentative="1">
      <w:start w:val="1"/>
      <w:numFmt w:val="bullet"/>
      <w:lvlText w:val=""/>
      <w:lvlJc w:val="left"/>
      <w:pPr>
        <w:tabs>
          <w:tab w:val="num" w:pos="3600"/>
        </w:tabs>
        <w:ind w:left="3600" w:hanging="360"/>
      </w:pPr>
      <w:rPr>
        <w:rFonts w:ascii="Wingdings" w:hAnsi="Wingdings" w:hint="default"/>
      </w:rPr>
    </w:lvl>
    <w:lvl w:ilvl="5" w:tplc="C13C9480" w:tentative="1">
      <w:start w:val="1"/>
      <w:numFmt w:val="bullet"/>
      <w:lvlText w:val=""/>
      <w:lvlJc w:val="left"/>
      <w:pPr>
        <w:tabs>
          <w:tab w:val="num" w:pos="4320"/>
        </w:tabs>
        <w:ind w:left="4320" w:hanging="360"/>
      </w:pPr>
      <w:rPr>
        <w:rFonts w:ascii="Wingdings" w:hAnsi="Wingdings" w:hint="default"/>
      </w:rPr>
    </w:lvl>
    <w:lvl w:ilvl="6" w:tplc="5E2C4D76" w:tentative="1">
      <w:start w:val="1"/>
      <w:numFmt w:val="bullet"/>
      <w:lvlText w:val=""/>
      <w:lvlJc w:val="left"/>
      <w:pPr>
        <w:tabs>
          <w:tab w:val="num" w:pos="5040"/>
        </w:tabs>
        <w:ind w:left="5040" w:hanging="360"/>
      </w:pPr>
      <w:rPr>
        <w:rFonts w:ascii="Wingdings" w:hAnsi="Wingdings" w:hint="default"/>
      </w:rPr>
    </w:lvl>
    <w:lvl w:ilvl="7" w:tplc="13DA0C84" w:tentative="1">
      <w:start w:val="1"/>
      <w:numFmt w:val="bullet"/>
      <w:lvlText w:val=""/>
      <w:lvlJc w:val="left"/>
      <w:pPr>
        <w:tabs>
          <w:tab w:val="num" w:pos="5760"/>
        </w:tabs>
        <w:ind w:left="5760" w:hanging="360"/>
      </w:pPr>
      <w:rPr>
        <w:rFonts w:ascii="Wingdings" w:hAnsi="Wingdings" w:hint="default"/>
      </w:rPr>
    </w:lvl>
    <w:lvl w:ilvl="8" w:tplc="9E3618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80B4C"/>
    <w:multiLevelType w:val="hybridMultilevel"/>
    <w:tmpl w:val="0B94795E"/>
    <w:lvl w:ilvl="0" w:tplc="29B683F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65"/>
    <w:rsid w:val="00010FAC"/>
    <w:rsid w:val="0003009E"/>
    <w:rsid w:val="00050D29"/>
    <w:rsid w:val="00062F9D"/>
    <w:rsid w:val="00090B5D"/>
    <w:rsid w:val="000D7830"/>
    <w:rsid w:val="00133685"/>
    <w:rsid w:val="001466D8"/>
    <w:rsid w:val="001675D1"/>
    <w:rsid w:val="00170CD2"/>
    <w:rsid w:val="00182AA1"/>
    <w:rsid w:val="001B4A4D"/>
    <w:rsid w:val="001C30BD"/>
    <w:rsid w:val="00203309"/>
    <w:rsid w:val="0020385A"/>
    <w:rsid w:val="00205D65"/>
    <w:rsid w:val="00254CB0"/>
    <w:rsid w:val="00281405"/>
    <w:rsid w:val="002841B8"/>
    <w:rsid w:val="002962FB"/>
    <w:rsid w:val="002A1DF0"/>
    <w:rsid w:val="003175F2"/>
    <w:rsid w:val="003729B0"/>
    <w:rsid w:val="00383A8B"/>
    <w:rsid w:val="003A4A36"/>
    <w:rsid w:val="00400AF5"/>
    <w:rsid w:val="00414CEF"/>
    <w:rsid w:val="00490A86"/>
    <w:rsid w:val="004A454B"/>
    <w:rsid w:val="004B209D"/>
    <w:rsid w:val="004B428C"/>
    <w:rsid w:val="0051263F"/>
    <w:rsid w:val="00530556"/>
    <w:rsid w:val="00551734"/>
    <w:rsid w:val="0055382C"/>
    <w:rsid w:val="00667262"/>
    <w:rsid w:val="00673285"/>
    <w:rsid w:val="006804D2"/>
    <w:rsid w:val="00681A81"/>
    <w:rsid w:val="0068385F"/>
    <w:rsid w:val="006D13CB"/>
    <w:rsid w:val="006E35A9"/>
    <w:rsid w:val="00726703"/>
    <w:rsid w:val="007533A7"/>
    <w:rsid w:val="00760692"/>
    <w:rsid w:val="0077381F"/>
    <w:rsid w:val="00782DCC"/>
    <w:rsid w:val="007A5A00"/>
    <w:rsid w:val="007D2FF4"/>
    <w:rsid w:val="00800C68"/>
    <w:rsid w:val="00805F57"/>
    <w:rsid w:val="00897B12"/>
    <w:rsid w:val="008B3A10"/>
    <w:rsid w:val="008D27A1"/>
    <w:rsid w:val="008D7A99"/>
    <w:rsid w:val="008F3A9F"/>
    <w:rsid w:val="00960A51"/>
    <w:rsid w:val="009851F4"/>
    <w:rsid w:val="009A778C"/>
    <w:rsid w:val="00A00805"/>
    <w:rsid w:val="00AC11AB"/>
    <w:rsid w:val="00AD6988"/>
    <w:rsid w:val="00AD7C54"/>
    <w:rsid w:val="00AE5070"/>
    <w:rsid w:val="00AF34A1"/>
    <w:rsid w:val="00B02510"/>
    <w:rsid w:val="00B03CF0"/>
    <w:rsid w:val="00B85B4D"/>
    <w:rsid w:val="00BD5100"/>
    <w:rsid w:val="00BD6B43"/>
    <w:rsid w:val="00C02BCF"/>
    <w:rsid w:val="00C2538A"/>
    <w:rsid w:val="00C35F27"/>
    <w:rsid w:val="00C75C80"/>
    <w:rsid w:val="00C77604"/>
    <w:rsid w:val="00C950C8"/>
    <w:rsid w:val="00C97672"/>
    <w:rsid w:val="00CC126A"/>
    <w:rsid w:val="00CC45DF"/>
    <w:rsid w:val="00D04037"/>
    <w:rsid w:val="00D457BB"/>
    <w:rsid w:val="00D479D8"/>
    <w:rsid w:val="00D84E01"/>
    <w:rsid w:val="00E217C6"/>
    <w:rsid w:val="00E33C25"/>
    <w:rsid w:val="00E6308F"/>
    <w:rsid w:val="00E930DB"/>
    <w:rsid w:val="00EA58C9"/>
    <w:rsid w:val="00EA5DFF"/>
    <w:rsid w:val="00EE17F5"/>
    <w:rsid w:val="00F260CC"/>
    <w:rsid w:val="00F31FA0"/>
    <w:rsid w:val="00F9272E"/>
    <w:rsid w:val="00F96054"/>
    <w:rsid w:val="00FA7A4F"/>
    <w:rsid w:val="00FB0C1C"/>
    <w:rsid w:val="00FD621D"/>
    <w:rsid w:val="00FE39E8"/>
    <w:rsid w:val="00FF7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17A5A"/>
  <w15:docId w15:val="{F5E1A6AE-3EF0-486F-968D-AB325A67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05D65"/>
    <w:rPr>
      <w:sz w:val="20"/>
      <w:szCs w:val="20"/>
    </w:rPr>
  </w:style>
  <w:style w:type="character" w:customStyle="1" w:styleId="NotedebasdepageCar">
    <w:name w:val="Note de bas de page Car"/>
    <w:link w:val="Notedebasdepage"/>
    <w:uiPriority w:val="99"/>
    <w:semiHidden/>
    <w:rsid w:val="00205D65"/>
    <w:rPr>
      <w:lang w:eastAsia="en-US"/>
    </w:rPr>
  </w:style>
  <w:style w:type="character" w:styleId="Appelnotedebasdep">
    <w:name w:val="footnote reference"/>
    <w:uiPriority w:val="99"/>
    <w:semiHidden/>
    <w:unhideWhenUsed/>
    <w:rsid w:val="00205D65"/>
    <w:rPr>
      <w:vertAlign w:val="superscript"/>
    </w:rPr>
  </w:style>
  <w:style w:type="paragraph" w:styleId="En-tte">
    <w:name w:val="header"/>
    <w:basedOn w:val="Normal"/>
    <w:link w:val="En-tteCar"/>
    <w:uiPriority w:val="99"/>
    <w:unhideWhenUsed/>
    <w:rsid w:val="00D479D8"/>
    <w:pPr>
      <w:tabs>
        <w:tab w:val="center" w:pos="4536"/>
        <w:tab w:val="right" w:pos="9072"/>
      </w:tabs>
    </w:pPr>
  </w:style>
  <w:style w:type="character" w:customStyle="1" w:styleId="En-tteCar">
    <w:name w:val="En-tête Car"/>
    <w:link w:val="En-tte"/>
    <w:uiPriority w:val="99"/>
    <w:rsid w:val="00D479D8"/>
    <w:rPr>
      <w:sz w:val="22"/>
      <w:szCs w:val="22"/>
      <w:lang w:eastAsia="en-US"/>
    </w:rPr>
  </w:style>
  <w:style w:type="paragraph" w:styleId="Pieddepage">
    <w:name w:val="footer"/>
    <w:basedOn w:val="Normal"/>
    <w:link w:val="PieddepageCar"/>
    <w:uiPriority w:val="99"/>
    <w:unhideWhenUsed/>
    <w:rsid w:val="00D479D8"/>
    <w:pPr>
      <w:tabs>
        <w:tab w:val="center" w:pos="4536"/>
        <w:tab w:val="right" w:pos="9072"/>
      </w:tabs>
    </w:pPr>
  </w:style>
  <w:style w:type="character" w:customStyle="1" w:styleId="PieddepageCar">
    <w:name w:val="Pied de page Car"/>
    <w:link w:val="Pieddepage"/>
    <w:uiPriority w:val="99"/>
    <w:rsid w:val="00D479D8"/>
    <w:rPr>
      <w:sz w:val="22"/>
      <w:szCs w:val="22"/>
      <w:lang w:eastAsia="en-US"/>
    </w:rPr>
  </w:style>
  <w:style w:type="character" w:styleId="Marquedecommentaire">
    <w:name w:val="annotation reference"/>
    <w:uiPriority w:val="99"/>
    <w:semiHidden/>
    <w:unhideWhenUsed/>
    <w:rsid w:val="00FF777D"/>
    <w:rPr>
      <w:sz w:val="16"/>
      <w:szCs w:val="16"/>
    </w:rPr>
  </w:style>
  <w:style w:type="paragraph" w:styleId="Commentaire">
    <w:name w:val="annotation text"/>
    <w:basedOn w:val="Normal"/>
    <w:link w:val="CommentaireCar"/>
    <w:uiPriority w:val="99"/>
    <w:semiHidden/>
    <w:unhideWhenUsed/>
    <w:rsid w:val="00FF777D"/>
    <w:rPr>
      <w:sz w:val="20"/>
      <w:szCs w:val="20"/>
    </w:rPr>
  </w:style>
  <w:style w:type="character" w:customStyle="1" w:styleId="CommentaireCar">
    <w:name w:val="Commentaire Car"/>
    <w:link w:val="Commentaire"/>
    <w:uiPriority w:val="99"/>
    <w:semiHidden/>
    <w:rsid w:val="00FF777D"/>
    <w:rPr>
      <w:lang w:eastAsia="en-US"/>
    </w:rPr>
  </w:style>
  <w:style w:type="paragraph" w:styleId="Objetducommentaire">
    <w:name w:val="annotation subject"/>
    <w:basedOn w:val="Commentaire"/>
    <w:next w:val="Commentaire"/>
    <w:link w:val="ObjetducommentaireCar"/>
    <w:uiPriority w:val="99"/>
    <w:semiHidden/>
    <w:unhideWhenUsed/>
    <w:rsid w:val="00FF777D"/>
    <w:rPr>
      <w:b/>
      <w:bCs/>
    </w:rPr>
  </w:style>
  <w:style w:type="character" w:customStyle="1" w:styleId="ObjetducommentaireCar">
    <w:name w:val="Objet du commentaire Car"/>
    <w:link w:val="Objetducommentaire"/>
    <w:uiPriority w:val="99"/>
    <w:semiHidden/>
    <w:rsid w:val="00FF777D"/>
    <w:rPr>
      <w:b/>
      <w:bCs/>
      <w:lang w:eastAsia="en-US"/>
    </w:rPr>
  </w:style>
  <w:style w:type="paragraph" w:styleId="Textedebulles">
    <w:name w:val="Balloon Text"/>
    <w:basedOn w:val="Normal"/>
    <w:link w:val="TextedebullesCar"/>
    <w:uiPriority w:val="99"/>
    <w:semiHidden/>
    <w:unhideWhenUsed/>
    <w:rsid w:val="00FF777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F777D"/>
    <w:rPr>
      <w:rFonts w:ascii="Tahoma" w:hAnsi="Tahoma" w:cs="Tahoma"/>
      <w:sz w:val="16"/>
      <w:szCs w:val="16"/>
      <w:lang w:eastAsia="en-US"/>
    </w:rPr>
  </w:style>
  <w:style w:type="paragraph" w:styleId="Paragraphedeliste">
    <w:name w:val="List Paragraph"/>
    <w:basedOn w:val="Normal"/>
    <w:uiPriority w:val="34"/>
    <w:qFormat/>
    <w:rsid w:val="00C97672"/>
    <w:pPr>
      <w:spacing w:after="0" w:line="240" w:lineRule="auto"/>
      <w:ind w:left="720"/>
      <w:contextualSpacing/>
      <w:jc w:val="both"/>
    </w:pPr>
  </w:style>
  <w:style w:type="paragraph" w:styleId="Notedefin">
    <w:name w:val="endnote text"/>
    <w:basedOn w:val="Normal"/>
    <w:link w:val="NotedefinCar"/>
    <w:uiPriority w:val="99"/>
    <w:semiHidden/>
    <w:unhideWhenUsed/>
    <w:rsid w:val="003175F2"/>
    <w:pPr>
      <w:spacing w:after="0" w:line="240" w:lineRule="auto"/>
    </w:pPr>
    <w:rPr>
      <w:sz w:val="20"/>
      <w:szCs w:val="20"/>
    </w:rPr>
  </w:style>
  <w:style w:type="character" w:customStyle="1" w:styleId="NotedefinCar">
    <w:name w:val="Note de fin Car"/>
    <w:basedOn w:val="Policepardfaut"/>
    <w:link w:val="Notedefin"/>
    <w:uiPriority w:val="99"/>
    <w:semiHidden/>
    <w:rsid w:val="003175F2"/>
    <w:rPr>
      <w:lang w:eastAsia="en-US"/>
    </w:rPr>
  </w:style>
  <w:style w:type="character" w:styleId="Appeldenotedefin">
    <w:name w:val="endnote reference"/>
    <w:basedOn w:val="Policepardfaut"/>
    <w:uiPriority w:val="99"/>
    <w:semiHidden/>
    <w:unhideWhenUsed/>
    <w:rsid w:val="00317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89035">
      <w:bodyDiv w:val="1"/>
      <w:marLeft w:val="0"/>
      <w:marRight w:val="0"/>
      <w:marTop w:val="0"/>
      <w:marBottom w:val="0"/>
      <w:divBdr>
        <w:top w:val="none" w:sz="0" w:space="0" w:color="auto"/>
        <w:left w:val="none" w:sz="0" w:space="0" w:color="auto"/>
        <w:bottom w:val="none" w:sz="0" w:space="0" w:color="auto"/>
        <w:right w:val="none" w:sz="0" w:space="0" w:color="auto"/>
      </w:divBdr>
      <w:divsChild>
        <w:div w:id="1366952607">
          <w:marLeft w:val="446"/>
          <w:marRight w:val="0"/>
          <w:marTop w:val="0"/>
          <w:marBottom w:val="0"/>
          <w:divBdr>
            <w:top w:val="none" w:sz="0" w:space="0" w:color="auto"/>
            <w:left w:val="none" w:sz="0" w:space="0" w:color="auto"/>
            <w:bottom w:val="none" w:sz="0" w:space="0" w:color="auto"/>
            <w:right w:val="none" w:sz="0" w:space="0" w:color="auto"/>
          </w:divBdr>
        </w:div>
        <w:div w:id="18283260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8D7F-0C38-4112-9601-CB86C6EE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1455</Words>
  <Characters>8007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Cnam</dc:creator>
  <cp:lastModifiedBy>VOROS, Magali (DSS/SD1 FINANCEMENT DU SYSTEME DE SOINS/MGRMC)</cp:lastModifiedBy>
  <cp:revision>6</cp:revision>
  <cp:lastPrinted>2019-08-26T14:21:00Z</cp:lastPrinted>
  <dcterms:created xsi:type="dcterms:W3CDTF">2019-11-15T18:38:00Z</dcterms:created>
  <dcterms:modified xsi:type="dcterms:W3CDTF">2020-01-27T17:01:00Z</dcterms:modified>
</cp:coreProperties>
</file>