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BD5F" w14:textId="792FA854" w:rsidR="00AB18A5" w:rsidRDefault="00AB18A5" w:rsidP="006C3826">
      <w:pPr>
        <w:jc w:val="center"/>
        <w:rPr>
          <w:rFonts w:cs="Times New Roman"/>
          <w:b/>
          <w:sz w:val="20"/>
          <w:szCs w:val="20"/>
        </w:rPr>
      </w:pPr>
      <w:r w:rsidRPr="006C3826">
        <w:rPr>
          <w:rFonts w:cs="Times New Roman"/>
          <w:b/>
          <w:sz w:val="20"/>
          <w:szCs w:val="20"/>
        </w:rPr>
        <w:t>Indicateur CAQES</w:t>
      </w:r>
      <w:r w:rsidR="004B55B3" w:rsidRPr="006C3826">
        <w:rPr>
          <w:rFonts w:cs="Times New Roman"/>
          <w:b/>
          <w:sz w:val="20"/>
          <w:szCs w:val="20"/>
        </w:rPr>
        <w:t> :</w:t>
      </w:r>
      <w:r w:rsidR="004B55B3" w:rsidRPr="006C3826" w:rsidDel="004B55B3">
        <w:rPr>
          <w:rFonts w:cs="Times New Roman"/>
          <w:b/>
          <w:sz w:val="20"/>
          <w:szCs w:val="20"/>
        </w:rPr>
        <w:t xml:space="preserve"> </w:t>
      </w:r>
      <w:r w:rsidR="00475017" w:rsidRPr="006C3826">
        <w:rPr>
          <w:rFonts w:cs="Times New Roman"/>
          <w:b/>
          <w:sz w:val="20"/>
          <w:szCs w:val="20"/>
        </w:rPr>
        <w:t>inhibiteurs de</w:t>
      </w:r>
      <w:r w:rsidR="004B55B3" w:rsidRPr="006C3826">
        <w:rPr>
          <w:rFonts w:cs="Times New Roman"/>
          <w:b/>
          <w:sz w:val="20"/>
          <w:szCs w:val="20"/>
        </w:rPr>
        <w:t xml:space="preserve"> la</w:t>
      </w:r>
      <w:r w:rsidR="00475017" w:rsidRPr="006C3826">
        <w:rPr>
          <w:rFonts w:cs="Times New Roman"/>
          <w:b/>
          <w:sz w:val="20"/>
          <w:szCs w:val="20"/>
        </w:rPr>
        <w:t xml:space="preserve"> pompe à protons</w:t>
      </w:r>
    </w:p>
    <w:p w14:paraId="59BA7393" w14:textId="14A59EC2" w:rsidR="006C3826" w:rsidRPr="006C3826" w:rsidRDefault="0052172E" w:rsidP="006C3826">
      <w:pPr>
        <w:jc w:val="center"/>
        <w:rPr>
          <w:rFonts w:cs="Times New Roman"/>
          <w:sz w:val="20"/>
          <w:szCs w:val="20"/>
        </w:rPr>
      </w:pPr>
      <w:r>
        <w:rPr>
          <w:rFonts w:cs="Times New Roman"/>
          <w:b/>
          <w:sz w:val="20"/>
          <w:szCs w:val="20"/>
        </w:rPr>
        <w:pict w14:anchorId="0EC03E2D">
          <v:rect id="_x0000_i1029" style="width:453.6pt;height:1.5pt" o:hralign="center" o:hrstd="t" o:hrnoshade="t" o:hr="t" fillcolor="#1f497d [3215]" stroked="f"/>
        </w:pict>
      </w:r>
    </w:p>
    <w:p w14:paraId="55DF8020" w14:textId="069E05BA" w:rsidR="00E36EF6" w:rsidRPr="006C3826" w:rsidRDefault="00E36EF6" w:rsidP="00075D23">
      <w:pPr>
        <w:pStyle w:val="Paragraphedeliste"/>
        <w:numPr>
          <w:ilvl w:val="0"/>
          <w:numId w:val="2"/>
        </w:numPr>
        <w:jc w:val="both"/>
        <w:rPr>
          <w:rFonts w:cs="Times New Roman"/>
          <w:b/>
          <w:sz w:val="20"/>
          <w:szCs w:val="20"/>
        </w:rPr>
      </w:pPr>
      <w:r w:rsidRPr="006C3826">
        <w:rPr>
          <w:rFonts w:cs="Times New Roman"/>
          <w:b/>
          <w:sz w:val="20"/>
          <w:szCs w:val="20"/>
        </w:rPr>
        <w:t>Contexte </w:t>
      </w:r>
    </w:p>
    <w:p w14:paraId="7A433DD0" w14:textId="77777777" w:rsidR="00464E97" w:rsidRPr="006C3826" w:rsidRDefault="00464E97" w:rsidP="0068643B">
      <w:pPr>
        <w:spacing w:after="0"/>
        <w:jc w:val="both"/>
        <w:rPr>
          <w:rFonts w:cs="Times New Roman"/>
          <w:b/>
          <w:sz w:val="20"/>
          <w:szCs w:val="20"/>
        </w:rPr>
      </w:pPr>
      <w:r w:rsidRPr="006C3826">
        <w:rPr>
          <w:rFonts w:cs="Times New Roman"/>
          <w:sz w:val="20"/>
          <w:szCs w:val="20"/>
        </w:rPr>
        <w:t>Les inhibiteurs de la pompe à protons (IPP) sont des médicaments largement consommés par les français (près d’un quart de la population française utilise un IPP délivré en ville sur prescription médicale). Les indications pourtant précises et limitées des IPP</w:t>
      </w:r>
      <w:r w:rsidRPr="006C3826">
        <w:rPr>
          <w:rStyle w:val="Appelnotedebasdep"/>
          <w:rFonts w:cs="Times New Roman"/>
          <w:sz w:val="20"/>
          <w:szCs w:val="20"/>
        </w:rPr>
        <w:footnoteReference w:id="1"/>
      </w:r>
      <w:r w:rsidRPr="006C3826">
        <w:rPr>
          <w:rFonts w:cs="Times New Roman"/>
          <w:sz w:val="20"/>
          <w:szCs w:val="20"/>
        </w:rPr>
        <w:t xml:space="preserve"> ne sont </w:t>
      </w:r>
      <w:r w:rsidR="004B55B3" w:rsidRPr="006C3826">
        <w:rPr>
          <w:rFonts w:cs="Times New Roman"/>
          <w:sz w:val="20"/>
          <w:szCs w:val="20"/>
        </w:rPr>
        <w:t xml:space="preserve">donc </w:t>
      </w:r>
      <w:r w:rsidRPr="006C3826">
        <w:rPr>
          <w:rFonts w:cs="Times New Roman"/>
          <w:sz w:val="20"/>
          <w:szCs w:val="20"/>
        </w:rPr>
        <w:t xml:space="preserve">pas respectées puisqu’il existe une large proportion de prescription des IPP hors AMM documentées en France. En effet, </w:t>
      </w:r>
      <w:r w:rsidRPr="006C3826">
        <w:rPr>
          <w:rFonts w:cs="Times New Roman"/>
          <w:b/>
          <w:sz w:val="20"/>
          <w:szCs w:val="20"/>
        </w:rPr>
        <w:t xml:space="preserve">60% des prescriptions des IPP est faite hors AMM. </w:t>
      </w:r>
    </w:p>
    <w:p w14:paraId="00A74DE0" w14:textId="77777777" w:rsidR="007D559C" w:rsidRPr="006C3826" w:rsidRDefault="007D559C" w:rsidP="0068643B">
      <w:pPr>
        <w:spacing w:after="0"/>
        <w:jc w:val="both"/>
        <w:rPr>
          <w:rFonts w:cs="Times New Roman"/>
          <w:sz w:val="20"/>
          <w:szCs w:val="20"/>
        </w:rPr>
      </w:pPr>
      <w:r w:rsidRPr="006C3826">
        <w:rPr>
          <w:rFonts w:cs="Times New Roman"/>
          <w:sz w:val="20"/>
          <w:szCs w:val="20"/>
        </w:rPr>
        <w:t>Outre le risque sanitaire élevé inhérent aux prescriptions non conformes (effets indésirables à long terme</w:t>
      </w:r>
      <w:r w:rsidR="004B55B3" w:rsidRPr="006C3826">
        <w:rPr>
          <w:rFonts w:cs="Times New Roman"/>
          <w:sz w:val="20"/>
          <w:szCs w:val="20"/>
        </w:rPr>
        <w:t>,</w:t>
      </w:r>
      <w:r w:rsidRPr="006C3826">
        <w:rPr>
          <w:rFonts w:cs="Times New Roman"/>
          <w:sz w:val="20"/>
          <w:szCs w:val="20"/>
        </w:rPr>
        <w:t xml:space="preserve"> tels que de nombreuses infections digestives et respiratoires, des fractures, etc.), l’impact économique de ce mésusage </w:t>
      </w:r>
      <w:r w:rsidR="008C559F" w:rsidRPr="006C3826">
        <w:rPr>
          <w:rFonts w:cs="Times New Roman"/>
          <w:sz w:val="20"/>
          <w:szCs w:val="20"/>
        </w:rPr>
        <w:t xml:space="preserve">pèse lourdement </w:t>
      </w:r>
      <w:r w:rsidR="00BB7527" w:rsidRPr="006C3826">
        <w:rPr>
          <w:rFonts w:cs="Times New Roman"/>
          <w:sz w:val="20"/>
          <w:szCs w:val="20"/>
        </w:rPr>
        <w:t xml:space="preserve">sur les dépenses d’assurance maladie </w:t>
      </w:r>
      <w:r w:rsidRPr="006C3826">
        <w:rPr>
          <w:rFonts w:cs="Times New Roman"/>
          <w:sz w:val="20"/>
          <w:szCs w:val="20"/>
        </w:rPr>
        <w:t xml:space="preserve">puisqu’il représente </w:t>
      </w:r>
      <w:r w:rsidRPr="006C3826">
        <w:rPr>
          <w:rFonts w:cs="Times New Roman"/>
          <w:b/>
          <w:sz w:val="20"/>
          <w:szCs w:val="20"/>
        </w:rPr>
        <w:t>plus de 200 M€ par an</w:t>
      </w:r>
      <w:r w:rsidRPr="006C3826">
        <w:rPr>
          <w:rFonts w:cs="Times New Roman"/>
          <w:sz w:val="20"/>
          <w:szCs w:val="20"/>
        </w:rPr>
        <w:t xml:space="preserve">. </w:t>
      </w:r>
    </w:p>
    <w:p w14:paraId="2D6340D9" w14:textId="1EB45666" w:rsidR="005917C4" w:rsidRPr="006C3826" w:rsidRDefault="00361F7F" w:rsidP="0068643B">
      <w:pPr>
        <w:spacing w:after="0"/>
        <w:jc w:val="both"/>
        <w:rPr>
          <w:rFonts w:cs="Times New Roman"/>
          <w:sz w:val="20"/>
          <w:szCs w:val="20"/>
        </w:rPr>
      </w:pPr>
      <w:r w:rsidRPr="006C3826">
        <w:rPr>
          <w:rFonts w:cs="Times New Roman"/>
          <w:sz w:val="20"/>
          <w:szCs w:val="20"/>
        </w:rPr>
        <w:t xml:space="preserve">Les prescriptions des IPP sont </w:t>
      </w:r>
      <w:r w:rsidR="004B55B3" w:rsidRPr="006C3826">
        <w:rPr>
          <w:rFonts w:cs="Times New Roman"/>
          <w:sz w:val="20"/>
          <w:szCs w:val="20"/>
        </w:rPr>
        <w:t xml:space="preserve">largement </w:t>
      </w:r>
      <w:r w:rsidRPr="006C3826">
        <w:rPr>
          <w:rFonts w:cs="Times New Roman"/>
          <w:sz w:val="20"/>
          <w:szCs w:val="20"/>
        </w:rPr>
        <w:t>initiées à l’hôpital et renouvelées</w:t>
      </w:r>
      <w:r w:rsidR="005917C4" w:rsidRPr="006C3826">
        <w:rPr>
          <w:rFonts w:cs="Times New Roman"/>
          <w:sz w:val="20"/>
          <w:szCs w:val="20"/>
        </w:rPr>
        <w:t xml:space="preserve"> en ville. L’augmentation de la consommation des IPP en France est en partie liée à l’augmentation des</w:t>
      </w:r>
      <w:r w:rsidRPr="006C3826">
        <w:rPr>
          <w:rFonts w:cs="Times New Roman"/>
          <w:sz w:val="20"/>
          <w:szCs w:val="20"/>
        </w:rPr>
        <w:t xml:space="preserve"> </w:t>
      </w:r>
      <w:r w:rsidR="005917C4" w:rsidRPr="006C3826">
        <w:rPr>
          <w:rFonts w:cs="Times New Roman"/>
          <w:sz w:val="20"/>
          <w:szCs w:val="20"/>
        </w:rPr>
        <w:t xml:space="preserve">prescriptions hospitalières réalisées en ville (PHEV) comme le montre le graphique ci-dessous : </w:t>
      </w:r>
    </w:p>
    <w:p w14:paraId="53BBA0B2" w14:textId="77777777" w:rsidR="005917C4" w:rsidRPr="006C3826" w:rsidRDefault="005917C4" w:rsidP="0068643B">
      <w:pPr>
        <w:spacing w:after="0"/>
        <w:jc w:val="center"/>
        <w:rPr>
          <w:rFonts w:cs="Times New Roman"/>
          <w:sz w:val="20"/>
          <w:szCs w:val="20"/>
        </w:rPr>
      </w:pPr>
      <w:r w:rsidRPr="006C3826">
        <w:rPr>
          <w:rFonts w:cs="Times New Roman"/>
          <w:noProof/>
          <w:sz w:val="20"/>
          <w:szCs w:val="20"/>
          <w:lang w:eastAsia="fr-FR"/>
        </w:rPr>
        <w:drawing>
          <wp:inline distT="0" distB="0" distL="0" distR="0" wp14:anchorId="752115C8" wp14:editId="114D8C13">
            <wp:extent cx="4233863" cy="2057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3863" cy="2057400"/>
                    </a:xfrm>
                    <a:prstGeom prst="rect">
                      <a:avLst/>
                    </a:prstGeom>
                    <a:noFill/>
                  </pic:spPr>
                </pic:pic>
              </a:graphicData>
            </a:graphic>
          </wp:inline>
        </w:drawing>
      </w:r>
    </w:p>
    <w:p w14:paraId="6010A62A" w14:textId="77777777" w:rsidR="00361F7F" w:rsidRPr="006C3826" w:rsidRDefault="005917C4" w:rsidP="0068643B">
      <w:pPr>
        <w:spacing w:after="0"/>
        <w:jc w:val="both"/>
        <w:rPr>
          <w:rFonts w:cs="Times New Roman"/>
          <w:sz w:val="20"/>
          <w:szCs w:val="20"/>
        </w:rPr>
      </w:pPr>
      <w:r w:rsidRPr="006C3826">
        <w:rPr>
          <w:rFonts w:cs="Times New Roman"/>
          <w:sz w:val="20"/>
          <w:szCs w:val="20"/>
        </w:rPr>
        <w:t>A</w:t>
      </w:r>
      <w:r w:rsidR="00361F7F" w:rsidRPr="006C3826">
        <w:rPr>
          <w:rFonts w:cs="Times New Roman"/>
          <w:sz w:val="20"/>
          <w:szCs w:val="20"/>
        </w:rPr>
        <w:t xml:space="preserve">insi une action ciblant les prescriptions hospitalières réalisées en ville (PHEV) est envisagée. </w:t>
      </w:r>
    </w:p>
    <w:p w14:paraId="79C38527" w14:textId="77777777" w:rsidR="005917C4" w:rsidRPr="006C3826" w:rsidRDefault="005917C4" w:rsidP="0068643B">
      <w:pPr>
        <w:rPr>
          <w:rFonts w:cs="Times New Roman"/>
          <w:b/>
          <w:sz w:val="20"/>
          <w:szCs w:val="20"/>
        </w:rPr>
      </w:pPr>
    </w:p>
    <w:p w14:paraId="5CD81896" w14:textId="283458F5" w:rsidR="00C87922" w:rsidRPr="006C3826" w:rsidRDefault="00C87922" w:rsidP="00075D23">
      <w:pPr>
        <w:pStyle w:val="Paragraphedeliste"/>
        <w:numPr>
          <w:ilvl w:val="0"/>
          <w:numId w:val="2"/>
        </w:numPr>
        <w:rPr>
          <w:rFonts w:cs="Times New Roman"/>
          <w:b/>
          <w:sz w:val="20"/>
          <w:szCs w:val="20"/>
        </w:rPr>
      </w:pPr>
      <w:r w:rsidRPr="006C3826">
        <w:rPr>
          <w:rFonts w:cs="Times New Roman"/>
          <w:b/>
          <w:sz w:val="20"/>
          <w:szCs w:val="20"/>
        </w:rPr>
        <w:t>Objectif  </w:t>
      </w:r>
    </w:p>
    <w:p w14:paraId="6934103A" w14:textId="7B458671" w:rsidR="00361F7F" w:rsidRPr="006C3826" w:rsidRDefault="00BB7527" w:rsidP="0068643B">
      <w:pPr>
        <w:spacing w:after="0"/>
        <w:jc w:val="both"/>
        <w:rPr>
          <w:rFonts w:cs="Times New Roman"/>
          <w:sz w:val="20"/>
          <w:szCs w:val="20"/>
        </w:rPr>
      </w:pPr>
      <w:r w:rsidRPr="006C3826">
        <w:rPr>
          <w:rFonts w:cs="Times New Roman"/>
          <w:sz w:val="20"/>
          <w:szCs w:val="20"/>
        </w:rPr>
        <w:t>Le</w:t>
      </w:r>
      <w:r w:rsidR="00C87922" w:rsidRPr="006C3826">
        <w:rPr>
          <w:rFonts w:cs="Times New Roman"/>
          <w:sz w:val="20"/>
          <w:szCs w:val="20"/>
        </w:rPr>
        <w:t xml:space="preserve"> constat de ce</w:t>
      </w:r>
      <w:r w:rsidRPr="006C3826">
        <w:rPr>
          <w:rFonts w:cs="Times New Roman"/>
          <w:sz w:val="20"/>
          <w:szCs w:val="20"/>
        </w:rPr>
        <w:t xml:space="preserve"> m</w:t>
      </w:r>
      <w:r w:rsidR="00C87922" w:rsidRPr="006C3826">
        <w:rPr>
          <w:rFonts w:cs="Times New Roman"/>
          <w:sz w:val="20"/>
          <w:szCs w:val="20"/>
        </w:rPr>
        <w:t>ésusage</w:t>
      </w:r>
      <w:r w:rsidR="00361F7F" w:rsidRPr="006C3826">
        <w:rPr>
          <w:rFonts w:cs="Times New Roman"/>
          <w:sz w:val="20"/>
          <w:szCs w:val="20"/>
        </w:rPr>
        <w:t xml:space="preserve">, déjà </w:t>
      </w:r>
      <w:r w:rsidR="00C87922" w:rsidRPr="006C3826">
        <w:rPr>
          <w:rFonts w:cs="Times New Roman"/>
          <w:sz w:val="20"/>
          <w:szCs w:val="20"/>
        </w:rPr>
        <w:t>fait à plusieurs reprises</w:t>
      </w:r>
      <w:r w:rsidR="00361F7F" w:rsidRPr="006C3826">
        <w:rPr>
          <w:rFonts w:cs="Times New Roman"/>
          <w:sz w:val="20"/>
          <w:szCs w:val="20"/>
        </w:rPr>
        <w:t xml:space="preserve">, a </w:t>
      </w:r>
      <w:r w:rsidRPr="006C3826">
        <w:rPr>
          <w:rFonts w:cs="Times New Roman"/>
          <w:sz w:val="20"/>
          <w:szCs w:val="20"/>
        </w:rPr>
        <w:t xml:space="preserve">motivé de nombreuses actions </w:t>
      </w:r>
      <w:r w:rsidR="00C87922" w:rsidRPr="006C3826">
        <w:rPr>
          <w:rFonts w:cs="Times New Roman"/>
          <w:sz w:val="20"/>
          <w:szCs w:val="20"/>
        </w:rPr>
        <w:t xml:space="preserve">depuis </w:t>
      </w:r>
      <w:r w:rsidRPr="006C3826">
        <w:rPr>
          <w:rFonts w:cs="Times New Roman"/>
          <w:sz w:val="20"/>
          <w:szCs w:val="20"/>
        </w:rPr>
        <w:t>10</w:t>
      </w:r>
      <w:r w:rsidR="004B55B3" w:rsidRPr="006C3826">
        <w:rPr>
          <w:rFonts w:cs="Times New Roman"/>
          <w:sz w:val="20"/>
          <w:szCs w:val="20"/>
        </w:rPr>
        <w:t> </w:t>
      </w:r>
      <w:r w:rsidRPr="006C3826">
        <w:rPr>
          <w:rFonts w:cs="Times New Roman"/>
          <w:sz w:val="20"/>
          <w:szCs w:val="20"/>
        </w:rPr>
        <w:t>ans</w:t>
      </w:r>
      <w:r w:rsidR="00361F7F" w:rsidRPr="006C3826">
        <w:rPr>
          <w:rFonts w:cs="Times New Roman"/>
          <w:sz w:val="20"/>
          <w:szCs w:val="20"/>
        </w:rPr>
        <w:t xml:space="preserve"> (</w:t>
      </w:r>
      <w:proofErr w:type="spellStart"/>
      <w:r w:rsidR="00361F7F" w:rsidRPr="006C3826">
        <w:rPr>
          <w:rFonts w:cs="Times New Roman"/>
          <w:i/>
          <w:sz w:val="20"/>
          <w:szCs w:val="20"/>
        </w:rPr>
        <w:t>e.g</w:t>
      </w:r>
      <w:proofErr w:type="spellEnd"/>
      <w:r w:rsidR="00361F7F" w:rsidRPr="006C3826">
        <w:rPr>
          <w:rFonts w:cs="Times New Roman"/>
          <w:i/>
          <w:sz w:val="20"/>
          <w:szCs w:val="20"/>
        </w:rPr>
        <w:t>.</w:t>
      </w:r>
      <w:r w:rsidR="00361F7F" w:rsidRPr="006C3826">
        <w:rPr>
          <w:rFonts w:cs="Times New Roman"/>
          <w:sz w:val="20"/>
          <w:szCs w:val="20"/>
        </w:rPr>
        <w:t xml:space="preserve"> recommandations de bon usage de </w:t>
      </w:r>
      <w:proofErr w:type="gramStart"/>
      <w:r w:rsidR="00361F7F" w:rsidRPr="006C3826">
        <w:rPr>
          <w:rFonts w:cs="Times New Roman"/>
          <w:sz w:val="20"/>
          <w:szCs w:val="20"/>
        </w:rPr>
        <w:t>la HAS</w:t>
      </w:r>
      <w:proofErr w:type="gramEnd"/>
      <w:r w:rsidR="00361F7F" w:rsidRPr="006C3826">
        <w:rPr>
          <w:rFonts w:cs="Times New Roman"/>
          <w:sz w:val="20"/>
          <w:szCs w:val="20"/>
        </w:rPr>
        <w:t>)</w:t>
      </w:r>
      <w:r w:rsidRPr="006C3826">
        <w:rPr>
          <w:rFonts w:cs="Times New Roman"/>
          <w:sz w:val="20"/>
          <w:szCs w:val="20"/>
        </w:rPr>
        <w:t xml:space="preserve">, mais aucune n’a encore permis de réduire ces prescriptions inadaptées. </w:t>
      </w:r>
    </w:p>
    <w:p w14:paraId="0D5F63D4" w14:textId="35439C48" w:rsidR="00BB7527" w:rsidRPr="006C3826" w:rsidRDefault="00BB7527" w:rsidP="0068643B">
      <w:pPr>
        <w:spacing w:after="0"/>
        <w:jc w:val="both"/>
        <w:rPr>
          <w:rFonts w:cs="Times New Roman"/>
          <w:sz w:val="20"/>
          <w:szCs w:val="20"/>
        </w:rPr>
      </w:pPr>
      <w:r w:rsidRPr="006C3826">
        <w:rPr>
          <w:rFonts w:cs="Times New Roman"/>
          <w:sz w:val="20"/>
          <w:szCs w:val="20"/>
        </w:rPr>
        <w:t>Une action</w:t>
      </w:r>
      <w:r w:rsidR="001310F6" w:rsidRPr="006C3826">
        <w:rPr>
          <w:rFonts w:cs="Times New Roman"/>
          <w:sz w:val="20"/>
          <w:szCs w:val="20"/>
        </w:rPr>
        <w:t xml:space="preserve"> mettant en place des indicateurs cibles pour </w:t>
      </w:r>
      <w:r w:rsidRPr="006C3826">
        <w:rPr>
          <w:rFonts w:cs="Times New Roman"/>
          <w:sz w:val="20"/>
          <w:szCs w:val="20"/>
        </w:rPr>
        <w:t xml:space="preserve">les prescripteurs </w:t>
      </w:r>
      <w:r w:rsidR="005917C4" w:rsidRPr="006C3826">
        <w:rPr>
          <w:rFonts w:cs="Times New Roman"/>
          <w:sz w:val="20"/>
          <w:szCs w:val="20"/>
        </w:rPr>
        <w:t>serait la plus pertinente</w:t>
      </w:r>
      <w:r w:rsidRPr="006C3826">
        <w:rPr>
          <w:rFonts w:cs="Times New Roman"/>
          <w:sz w:val="20"/>
          <w:szCs w:val="20"/>
        </w:rPr>
        <w:t xml:space="preserve">, et a déjà été retenue par nos voisins étrangers (Belgique, Royaume-Uni </w:t>
      </w:r>
      <w:r w:rsidR="00C87922" w:rsidRPr="006C3826">
        <w:rPr>
          <w:rFonts w:cs="Times New Roman"/>
          <w:i/>
          <w:sz w:val="20"/>
          <w:szCs w:val="20"/>
        </w:rPr>
        <w:t>etc.</w:t>
      </w:r>
      <w:r w:rsidR="00C87922" w:rsidRPr="006C3826">
        <w:rPr>
          <w:rFonts w:cs="Times New Roman"/>
          <w:sz w:val="20"/>
          <w:szCs w:val="20"/>
        </w:rPr>
        <w:t>)</w:t>
      </w:r>
      <w:r w:rsidR="004B55B3" w:rsidRPr="006C3826">
        <w:rPr>
          <w:rFonts w:cs="Times New Roman"/>
          <w:sz w:val="20"/>
          <w:szCs w:val="20"/>
        </w:rPr>
        <w:t>.</w:t>
      </w:r>
    </w:p>
    <w:p w14:paraId="1F857EEE" w14:textId="77777777" w:rsidR="00361F7F" w:rsidRPr="006C3826" w:rsidRDefault="00361F7F" w:rsidP="0068643B">
      <w:pPr>
        <w:spacing w:after="0"/>
        <w:jc w:val="both"/>
        <w:rPr>
          <w:rFonts w:cs="Times New Roman"/>
          <w:sz w:val="20"/>
          <w:szCs w:val="20"/>
        </w:rPr>
      </w:pPr>
      <w:r w:rsidRPr="006C3826">
        <w:rPr>
          <w:rFonts w:cs="Times New Roman"/>
          <w:sz w:val="20"/>
          <w:szCs w:val="20"/>
        </w:rPr>
        <w:t xml:space="preserve">Ainsi, des indicateurs relatifs aux PHEV d’IPP </w:t>
      </w:r>
      <w:r w:rsidR="001310F6" w:rsidRPr="006C3826">
        <w:rPr>
          <w:rFonts w:cs="Times New Roman"/>
          <w:sz w:val="20"/>
          <w:szCs w:val="20"/>
        </w:rPr>
        <w:t xml:space="preserve">seront </w:t>
      </w:r>
      <w:r w:rsidRPr="006C3826">
        <w:rPr>
          <w:rFonts w:cs="Times New Roman"/>
          <w:sz w:val="20"/>
          <w:szCs w:val="20"/>
        </w:rPr>
        <w:t>implémentés dans le CAQES</w:t>
      </w:r>
      <w:r w:rsidR="001310F6" w:rsidRPr="006C3826">
        <w:rPr>
          <w:rFonts w:cs="Times New Roman"/>
          <w:sz w:val="20"/>
          <w:szCs w:val="20"/>
        </w:rPr>
        <w:t>.</w:t>
      </w:r>
      <w:r w:rsidRPr="006C3826">
        <w:rPr>
          <w:rFonts w:cs="Times New Roman"/>
          <w:sz w:val="20"/>
          <w:szCs w:val="20"/>
        </w:rPr>
        <w:t xml:space="preserve"> </w:t>
      </w:r>
    </w:p>
    <w:p w14:paraId="5F632BCD" w14:textId="77777777" w:rsidR="00A767DD" w:rsidRPr="006C3826" w:rsidRDefault="00A767DD" w:rsidP="0068643B">
      <w:pPr>
        <w:spacing w:after="0"/>
        <w:jc w:val="both"/>
        <w:rPr>
          <w:rFonts w:cs="Times New Roman"/>
          <w:sz w:val="20"/>
          <w:szCs w:val="20"/>
        </w:rPr>
      </w:pPr>
    </w:p>
    <w:p w14:paraId="7A945247" w14:textId="7DCF39F7" w:rsidR="00A767DD" w:rsidRPr="006C3826" w:rsidRDefault="00A767DD" w:rsidP="0068643B">
      <w:pPr>
        <w:spacing w:after="0"/>
        <w:jc w:val="both"/>
        <w:rPr>
          <w:rFonts w:cs="Times New Roman"/>
          <w:sz w:val="20"/>
          <w:szCs w:val="20"/>
        </w:rPr>
      </w:pPr>
      <w:r w:rsidRPr="006C3826">
        <w:rPr>
          <w:rFonts w:cs="Times New Roman"/>
          <w:sz w:val="20"/>
          <w:szCs w:val="20"/>
        </w:rPr>
        <w:t xml:space="preserve">Deux indicateurs seront implémentés dans le CAQES : </w:t>
      </w:r>
    </w:p>
    <w:p w14:paraId="272562D5" w14:textId="11EFA155" w:rsidR="00361F7F" w:rsidRPr="006C3826" w:rsidRDefault="00A767DD" w:rsidP="0068643B">
      <w:pPr>
        <w:spacing w:after="0"/>
        <w:jc w:val="both"/>
        <w:rPr>
          <w:rFonts w:cs="Times New Roman"/>
          <w:sz w:val="20"/>
          <w:szCs w:val="20"/>
        </w:rPr>
      </w:pPr>
      <w:r w:rsidRPr="006C3826">
        <w:rPr>
          <w:rFonts w:cs="Times New Roman"/>
          <w:sz w:val="20"/>
          <w:szCs w:val="20"/>
        </w:rPr>
        <w:lastRenderedPageBreak/>
        <w:t xml:space="preserve">- un indicateur couplé à </w:t>
      </w:r>
      <w:r w:rsidR="00361F7F" w:rsidRPr="006C3826">
        <w:rPr>
          <w:rFonts w:cs="Times New Roman"/>
          <w:sz w:val="20"/>
          <w:szCs w:val="20"/>
        </w:rPr>
        <w:t>une incitation financière</w:t>
      </w:r>
      <w:r w:rsidR="001310F6" w:rsidRPr="006C3826">
        <w:rPr>
          <w:rFonts w:cs="Times New Roman"/>
          <w:sz w:val="20"/>
          <w:szCs w:val="20"/>
        </w:rPr>
        <w:t>, pour les prescripteurs,</w:t>
      </w:r>
      <w:r w:rsidR="00361F7F" w:rsidRPr="006C3826">
        <w:rPr>
          <w:rFonts w:cs="Times New Roman"/>
          <w:sz w:val="20"/>
          <w:szCs w:val="20"/>
        </w:rPr>
        <w:t xml:space="preserve"> </w:t>
      </w:r>
      <w:r w:rsidR="001310F6" w:rsidRPr="006C3826">
        <w:rPr>
          <w:rFonts w:cs="Times New Roman"/>
          <w:sz w:val="20"/>
          <w:szCs w:val="20"/>
        </w:rPr>
        <w:t>à l’atteinte de la cibl</w:t>
      </w:r>
      <w:r w:rsidRPr="006C3826">
        <w:rPr>
          <w:rFonts w:cs="Times New Roman"/>
          <w:sz w:val="20"/>
          <w:szCs w:val="20"/>
        </w:rPr>
        <w:t xml:space="preserve">e, afin d’optimiser </w:t>
      </w:r>
      <w:r w:rsidR="00361F7F" w:rsidRPr="006C3826">
        <w:rPr>
          <w:rFonts w:cs="Times New Roman"/>
          <w:sz w:val="20"/>
          <w:szCs w:val="20"/>
        </w:rPr>
        <w:t xml:space="preserve">les chances de réduire les prescriptions hors AMM des IPP. </w:t>
      </w:r>
    </w:p>
    <w:p w14:paraId="604D54BA" w14:textId="5BBA213D" w:rsidR="00BB7527" w:rsidRPr="006C3826" w:rsidRDefault="00A767DD" w:rsidP="0068643B">
      <w:pPr>
        <w:jc w:val="both"/>
        <w:rPr>
          <w:rFonts w:cs="Times New Roman"/>
          <w:sz w:val="20"/>
          <w:szCs w:val="20"/>
        </w:rPr>
      </w:pPr>
      <w:r w:rsidRPr="006C3826">
        <w:rPr>
          <w:rFonts w:cs="Times New Roman"/>
          <w:sz w:val="20"/>
          <w:szCs w:val="20"/>
        </w:rPr>
        <w:t xml:space="preserve">- un indicateur </w:t>
      </w:r>
      <w:r w:rsidR="00F030ED" w:rsidRPr="006C3826">
        <w:rPr>
          <w:rFonts w:cs="Times New Roman"/>
          <w:sz w:val="20"/>
          <w:szCs w:val="20"/>
        </w:rPr>
        <w:t xml:space="preserve">informatif </w:t>
      </w:r>
      <w:r w:rsidRPr="006C3826">
        <w:rPr>
          <w:rFonts w:cs="Times New Roman"/>
          <w:sz w:val="20"/>
          <w:szCs w:val="20"/>
        </w:rPr>
        <w:t>de qualité des soins, sans incitation financière</w:t>
      </w:r>
      <w:r w:rsidR="004B55B3" w:rsidRPr="006C3826">
        <w:rPr>
          <w:rFonts w:cs="Times New Roman"/>
          <w:sz w:val="20"/>
          <w:szCs w:val="20"/>
        </w:rPr>
        <w:t xml:space="preserve"> qui permettra aux Etablissements de suivre leurs prescriptions concomitantes d’anti-inflammatoires non stéroïdiens (AINS) et d’IPP (cas particulier de hors AMM).</w:t>
      </w:r>
    </w:p>
    <w:p w14:paraId="11B84B20" w14:textId="0A6CE066" w:rsidR="00E36EF6" w:rsidRPr="006C3826" w:rsidRDefault="00E36EF6" w:rsidP="00075D23">
      <w:pPr>
        <w:pStyle w:val="Paragraphedeliste"/>
        <w:numPr>
          <w:ilvl w:val="0"/>
          <w:numId w:val="2"/>
        </w:numPr>
        <w:jc w:val="both"/>
        <w:rPr>
          <w:rFonts w:cs="Times New Roman"/>
          <w:b/>
          <w:sz w:val="20"/>
          <w:szCs w:val="20"/>
        </w:rPr>
      </w:pPr>
      <w:r w:rsidRPr="006C3826">
        <w:rPr>
          <w:rFonts w:cs="Times New Roman"/>
          <w:b/>
          <w:sz w:val="20"/>
          <w:szCs w:val="20"/>
        </w:rPr>
        <w:t>Construction de l’indicateur</w:t>
      </w:r>
      <w:r w:rsidR="00A767DD" w:rsidRPr="006C3826">
        <w:rPr>
          <w:rFonts w:cs="Times New Roman"/>
          <w:b/>
          <w:sz w:val="20"/>
          <w:szCs w:val="20"/>
        </w:rPr>
        <w:t xml:space="preserve"> avec incitation financière </w:t>
      </w:r>
      <w:r w:rsidRPr="006C3826">
        <w:rPr>
          <w:rFonts w:cs="Times New Roman"/>
          <w:b/>
          <w:sz w:val="20"/>
          <w:szCs w:val="20"/>
        </w:rPr>
        <w:t> </w:t>
      </w:r>
    </w:p>
    <w:p w14:paraId="6626BF26" w14:textId="71D78BF4" w:rsidR="005917C4" w:rsidRPr="006C3826" w:rsidRDefault="005249BB" w:rsidP="0068643B">
      <w:pPr>
        <w:spacing w:after="0"/>
        <w:jc w:val="both"/>
        <w:rPr>
          <w:rFonts w:cs="Times New Roman"/>
          <w:sz w:val="20"/>
          <w:szCs w:val="20"/>
        </w:rPr>
      </w:pPr>
      <w:r w:rsidRPr="006C3826">
        <w:rPr>
          <w:rFonts w:cs="Times New Roman"/>
          <w:sz w:val="20"/>
          <w:szCs w:val="20"/>
        </w:rPr>
        <w:t>Chaque année n, et p</w:t>
      </w:r>
      <w:r w:rsidR="005917C4" w:rsidRPr="006C3826">
        <w:rPr>
          <w:rFonts w:cs="Times New Roman"/>
          <w:sz w:val="20"/>
          <w:szCs w:val="20"/>
        </w:rPr>
        <w:t xml:space="preserve">our chaque établissement de santé identifié par son numéro FINESS dans le SNDS, nous comparerons </w:t>
      </w:r>
      <w:r w:rsidRPr="006C3826">
        <w:rPr>
          <w:rFonts w:cs="Times New Roman"/>
          <w:sz w:val="20"/>
          <w:szCs w:val="20"/>
        </w:rPr>
        <w:t>l’évolution, entre les années n et n-1, des</w:t>
      </w:r>
      <w:r w:rsidR="005917C4" w:rsidRPr="006C3826">
        <w:rPr>
          <w:rFonts w:cs="Times New Roman"/>
          <w:sz w:val="20"/>
          <w:szCs w:val="20"/>
        </w:rPr>
        <w:t xml:space="preserve"> dépenses remboursées </w:t>
      </w:r>
      <w:r w:rsidRPr="006C3826">
        <w:rPr>
          <w:rFonts w:cs="Times New Roman"/>
          <w:sz w:val="20"/>
          <w:szCs w:val="20"/>
        </w:rPr>
        <w:t xml:space="preserve">en ville </w:t>
      </w:r>
      <w:r w:rsidR="005917C4" w:rsidRPr="006C3826">
        <w:rPr>
          <w:rFonts w:cs="Times New Roman"/>
          <w:sz w:val="20"/>
          <w:szCs w:val="20"/>
        </w:rPr>
        <w:t xml:space="preserve">(corrigées de l’effet prix) </w:t>
      </w:r>
      <w:r w:rsidRPr="006C3826">
        <w:rPr>
          <w:rFonts w:cs="Times New Roman"/>
          <w:sz w:val="20"/>
          <w:szCs w:val="20"/>
        </w:rPr>
        <w:t>liées aux prescriptions d’IPP</w:t>
      </w:r>
      <w:r w:rsidR="005917C4" w:rsidRPr="006C3826">
        <w:rPr>
          <w:rFonts w:cs="Times New Roman"/>
          <w:sz w:val="20"/>
          <w:szCs w:val="20"/>
        </w:rPr>
        <w:t xml:space="preserve"> émanant de l’établissement de santé</w:t>
      </w:r>
      <w:r w:rsidRPr="006C3826">
        <w:rPr>
          <w:rFonts w:cs="Times New Roman"/>
          <w:sz w:val="20"/>
          <w:szCs w:val="20"/>
        </w:rPr>
        <w:t>.</w:t>
      </w:r>
    </w:p>
    <w:p w14:paraId="777FFB4E" w14:textId="16DCC52C" w:rsidR="005249BB" w:rsidRPr="006C3826" w:rsidRDefault="005917C4" w:rsidP="00075D23">
      <w:pPr>
        <w:spacing w:after="0"/>
        <w:jc w:val="both"/>
        <w:rPr>
          <w:rFonts w:cs="Times New Roman"/>
          <w:sz w:val="20"/>
          <w:szCs w:val="20"/>
        </w:rPr>
      </w:pPr>
      <w:r w:rsidRPr="006C3826">
        <w:rPr>
          <w:rFonts w:cs="Times New Roman"/>
          <w:sz w:val="20"/>
          <w:szCs w:val="20"/>
        </w:rPr>
        <w:t xml:space="preserve">La réalisation d’économies entre </w:t>
      </w:r>
      <w:r w:rsidR="005249BB" w:rsidRPr="006C3826">
        <w:rPr>
          <w:rFonts w:cs="Times New Roman"/>
          <w:sz w:val="20"/>
          <w:szCs w:val="20"/>
        </w:rPr>
        <w:t>ces deux années,</w:t>
      </w:r>
      <w:r w:rsidRPr="006C3826">
        <w:rPr>
          <w:rFonts w:cs="Times New Roman"/>
          <w:sz w:val="20"/>
          <w:szCs w:val="20"/>
        </w:rPr>
        <w:t xml:space="preserve"> sur les ordonnances exécutées en ville d’IPP sur un établissement donné</w:t>
      </w:r>
      <w:r w:rsidR="005249BB" w:rsidRPr="006C3826">
        <w:rPr>
          <w:rFonts w:cs="Times New Roman"/>
          <w:sz w:val="20"/>
          <w:szCs w:val="20"/>
        </w:rPr>
        <w:t>,</w:t>
      </w:r>
      <w:r w:rsidRPr="006C3826">
        <w:rPr>
          <w:rFonts w:cs="Times New Roman"/>
          <w:sz w:val="20"/>
          <w:szCs w:val="20"/>
        </w:rPr>
        <w:t xml:space="preserve"> permettra à </w:t>
      </w:r>
      <w:r w:rsidR="005249BB" w:rsidRPr="006C3826">
        <w:rPr>
          <w:rFonts w:cs="Times New Roman"/>
          <w:sz w:val="20"/>
          <w:szCs w:val="20"/>
        </w:rPr>
        <w:t xml:space="preserve">cet </w:t>
      </w:r>
      <w:r w:rsidRPr="006C3826">
        <w:rPr>
          <w:rFonts w:cs="Times New Roman"/>
          <w:sz w:val="20"/>
          <w:szCs w:val="20"/>
        </w:rPr>
        <w:t xml:space="preserve">établissement de santé d’être rémunéré à hauteur de </w:t>
      </w:r>
      <w:r w:rsidR="005249BB" w:rsidRPr="006C3826">
        <w:rPr>
          <w:rFonts w:cs="Times New Roman"/>
          <w:sz w:val="20"/>
          <w:szCs w:val="20"/>
        </w:rPr>
        <w:t>2</w:t>
      </w:r>
      <w:r w:rsidRPr="006C3826">
        <w:rPr>
          <w:rFonts w:cs="Times New Roman"/>
          <w:sz w:val="20"/>
          <w:szCs w:val="20"/>
        </w:rPr>
        <w:t>0% de la dépense économisée par l’</w:t>
      </w:r>
      <w:r w:rsidR="00F030ED" w:rsidRPr="006C3826">
        <w:rPr>
          <w:rFonts w:cs="Times New Roman"/>
          <w:sz w:val="20"/>
          <w:szCs w:val="20"/>
        </w:rPr>
        <w:t>a</w:t>
      </w:r>
      <w:r w:rsidRPr="006C3826">
        <w:rPr>
          <w:rFonts w:cs="Times New Roman"/>
          <w:sz w:val="20"/>
          <w:szCs w:val="20"/>
        </w:rPr>
        <w:t>ssurance maladie obligatoire.</w:t>
      </w:r>
    </w:p>
    <w:p w14:paraId="03D8CBC3" w14:textId="77777777" w:rsidR="005249BB" w:rsidRPr="006C3826" w:rsidRDefault="005249BB" w:rsidP="00075D23">
      <w:pPr>
        <w:spacing w:after="0"/>
        <w:jc w:val="both"/>
        <w:rPr>
          <w:rFonts w:cs="Times New Roman"/>
          <w:sz w:val="20"/>
          <w:szCs w:val="20"/>
        </w:rPr>
      </w:pPr>
    </w:p>
    <w:p w14:paraId="2F0DA506" w14:textId="77777777" w:rsidR="005249BB" w:rsidRPr="006C3826" w:rsidRDefault="005249BB" w:rsidP="00075D23">
      <w:pPr>
        <w:spacing w:after="0"/>
        <w:jc w:val="both"/>
        <w:rPr>
          <w:rFonts w:cs="Times New Roman"/>
          <w:sz w:val="20"/>
          <w:szCs w:val="20"/>
        </w:rPr>
      </w:pPr>
      <w:r w:rsidRPr="006C3826">
        <w:rPr>
          <w:rFonts w:cs="Times New Roman"/>
          <w:sz w:val="20"/>
          <w:szCs w:val="20"/>
        </w:rPr>
        <w:t>Pour le calcul de l’indicateur, les modifications de prix seront prises en compte.</w:t>
      </w:r>
    </w:p>
    <w:p w14:paraId="165F1DA9" w14:textId="2E84F018" w:rsidR="005249BB" w:rsidRPr="006C3826" w:rsidRDefault="005249BB" w:rsidP="00075D23">
      <w:pPr>
        <w:jc w:val="both"/>
        <w:rPr>
          <w:rFonts w:cs="Times New Roman"/>
          <w:sz w:val="20"/>
          <w:szCs w:val="20"/>
        </w:rPr>
      </w:pPr>
      <w:r w:rsidRPr="006C3826">
        <w:rPr>
          <w:rFonts w:cs="Times New Roman"/>
          <w:sz w:val="20"/>
          <w:szCs w:val="20"/>
        </w:rPr>
        <w:t>Par ailleurs, le volume total de prescriptions sera suivi d’une année sur l’autre et pourra en cas de variation importante être utilisé pour corriger la rémunération.</w:t>
      </w:r>
    </w:p>
    <w:p w14:paraId="5A018B26" w14:textId="77777777" w:rsidR="00225148" w:rsidRPr="006C3826" w:rsidRDefault="00225148" w:rsidP="0068643B">
      <w:pPr>
        <w:spacing w:after="0"/>
        <w:jc w:val="center"/>
        <w:rPr>
          <w:rFonts w:cs="Times New Roman"/>
          <w:i/>
          <w:sz w:val="20"/>
          <w:szCs w:val="20"/>
        </w:rPr>
      </w:pPr>
    </w:p>
    <w:p w14:paraId="084417D6" w14:textId="66CECB76" w:rsidR="00E36EF6" w:rsidRPr="006C3826" w:rsidRDefault="00377F1A" w:rsidP="00075D23">
      <w:pPr>
        <w:pStyle w:val="Paragraphedeliste"/>
        <w:numPr>
          <w:ilvl w:val="0"/>
          <w:numId w:val="4"/>
        </w:numPr>
        <w:rPr>
          <w:rFonts w:cs="Times New Roman"/>
          <w:b/>
          <w:sz w:val="20"/>
          <w:szCs w:val="20"/>
        </w:rPr>
      </w:pPr>
      <w:r w:rsidRPr="006C3826">
        <w:rPr>
          <w:rFonts w:cs="Times New Roman"/>
          <w:b/>
          <w:sz w:val="20"/>
          <w:szCs w:val="20"/>
        </w:rPr>
        <w:t>Calcul et</w:t>
      </w:r>
      <w:r w:rsidR="00E36EF6" w:rsidRPr="006C3826">
        <w:rPr>
          <w:rFonts w:cs="Times New Roman"/>
          <w:b/>
          <w:sz w:val="20"/>
          <w:szCs w:val="20"/>
        </w:rPr>
        <w:t xml:space="preserve"> mise en œuvre d</w:t>
      </w:r>
      <w:r w:rsidRPr="006C3826">
        <w:rPr>
          <w:rFonts w:cs="Times New Roman"/>
          <w:b/>
          <w:sz w:val="20"/>
          <w:szCs w:val="20"/>
        </w:rPr>
        <w:t>e la</w:t>
      </w:r>
      <w:r w:rsidR="00E36EF6" w:rsidRPr="006C3826">
        <w:rPr>
          <w:rFonts w:cs="Times New Roman"/>
          <w:b/>
          <w:sz w:val="20"/>
          <w:szCs w:val="20"/>
        </w:rPr>
        <w:t xml:space="preserve"> rémunération incitative</w:t>
      </w:r>
    </w:p>
    <w:p w14:paraId="375316DA" w14:textId="49D0E2C9" w:rsidR="00225148" w:rsidRPr="006C3826" w:rsidRDefault="00225148" w:rsidP="00075D23">
      <w:pPr>
        <w:jc w:val="both"/>
        <w:rPr>
          <w:rFonts w:cs="Times New Roman"/>
          <w:sz w:val="20"/>
          <w:szCs w:val="20"/>
        </w:rPr>
      </w:pPr>
      <w:r w:rsidRPr="006C3826">
        <w:rPr>
          <w:rFonts w:cs="Times New Roman"/>
          <w:sz w:val="20"/>
          <w:szCs w:val="20"/>
        </w:rPr>
        <w:t>La réalisation d’économies entre l’année n</w:t>
      </w:r>
      <w:r w:rsidR="005249BB" w:rsidRPr="006C3826">
        <w:rPr>
          <w:rFonts w:cs="Times New Roman"/>
          <w:sz w:val="20"/>
          <w:szCs w:val="20"/>
        </w:rPr>
        <w:t>-1</w:t>
      </w:r>
      <w:r w:rsidRPr="006C3826">
        <w:rPr>
          <w:rFonts w:cs="Times New Roman"/>
          <w:sz w:val="20"/>
          <w:szCs w:val="20"/>
        </w:rPr>
        <w:t xml:space="preserve"> et n sur les </w:t>
      </w:r>
      <w:r w:rsidR="005249BB" w:rsidRPr="006C3826">
        <w:rPr>
          <w:rFonts w:cs="Times New Roman"/>
          <w:sz w:val="20"/>
          <w:szCs w:val="20"/>
        </w:rPr>
        <w:t>prescriptions</w:t>
      </w:r>
      <w:r w:rsidRPr="006C3826">
        <w:rPr>
          <w:rFonts w:cs="Times New Roman"/>
          <w:sz w:val="20"/>
          <w:szCs w:val="20"/>
        </w:rPr>
        <w:t xml:space="preserve"> exécutées en ville d’IPP </w:t>
      </w:r>
      <w:r w:rsidR="00F030ED" w:rsidRPr="006C3826">
        <w:rPr>
          <w:rFonts w:cs="Times New Roman"/>
          <w:sz w:val="20"/>
          <w:szCs w:val="20"/>
        </w:rPr>
        <w:t>pour</w:t>
      </w:r>
      <w:r w:rsidRPr="006C3826">
        <w:rPr>
          <w:rFonts w:cs="Times New Roman"/>
          <w:sz w:val="20"/>
          <w:szCs w:val="20"/>
        </w:rPr>
        <w:t xml:space="preserve"> un établissement donné permettra à </w:t>
      </w:r>
      <w:r w:rsidR="005249BB" w:rsidRPr="006C3826">
        <w:rPr>
          <w:rFonts w:cs="Times New Roman"/>
          <w:sz w:val="20"/>
          <w:szCs w:val="20"/>
        </w:rPr>
        <w:t xml:space="preserve">cet </w:t>
      </w:r>
      <w:r w:rsidRPr="006C3826">
        <w:rPr>
          <w:rFonts w:cs="Times New Roman"/>
          <w:sz w:val="20"/>
          <w:szCs w:val="20"/>
        </w:rPr>
        <w:t xml:space="preserve">établissement de santé d’être rémunéré à hauteur de </w:t>
      </w:r>
      <w:r w:rsidR="005249BB" w:rsidRPr="006C3826">
        <w:rPr>
          <w:rFonts w:cs="Times New Roman"/>
          <w:sz w:val="20"/>
          <w:szCs w:val="20"/>
        </w:rPr>
        <w:t>2</w:t>
      </w:r>
      <w:r w:rsidRPr="006C3826">
        <w:rPr>
          <w:rFonts w:cs="Times New Roman"/>
          <w:sz w:val="20"/>
          <w:szCs w:val="20"/>
        </w:rPr>
        <w:t>0% des économies générées (dépenses évitées) par l’</w:t>
      </w:r>
      <w:r w:rsidR="00F030ED" w:rsidRPr="006C3826">
        <w:rPr>
          <w:rFonts w:cs="Times New Roman"/>
          <w:sz w:val="20"/>
          <w:szCs w:val="20"/>
        </w:rPr>
        <w:t>a</w:t>
      </w:r>
      <w:r w:rsidRPr="006C3826">
        <w:rPr>
          <w:rFonts w:cs="Times New Roman"/>
          <w:sz w:val="20"/>
          <w:szCs w:val="20"/>
        </w:rPr>
        <w:t>ssurance maladie obligatoire.</w:t>
      </w:r>
    </w:p>
    <w:p w14:paraId="09A0862F" w14:textId="667036F1" w:rsidR="00225148" w:rsidRPr="006C3826" w:rsidRDefault="00225148" w:rsidP="00075D23">
      <w:pPr>
        <w:pBdr>
          <w:top w:val="single" w:sz="4" w:space="1" w:color="auto"/>
          <w:left w:val="single" w:sz="4" w:space="4" w:color="auto"/>
          <w:bottom w:val="single" w:sz="4" w:space="1" w:color="auto"/>
          <w:right w:val="single" w:sz="4" w:space="4" w:color="auto"/>
        </w:pBdr>
        <w:spacing w:line="360" w:lineRule="auto"/>
        <w:rPr>
          <w:rFonts w:cs="Times New Roman"/>
          <w:sz w:val="20"/>
          <w:szCs w:val="20"/>
        </w:rPr>
      </w:pPr>
      <w:r w:rsidRPr="006C3826">
        <w:rPr>
          <w:rFonts w:cs="Times New Roman"/>
          <w:b/>
          <w:sz w:val="20"/>
          <w:szCs w:val="20"/>
        </w:rPr>
        <w:t xml:space="preserve">Rémunération </w:t>
      </w:r>
      <w:r w:rsidR="00377F1A" w:rsidRPr="006C3826">
        <w:rPr>
          <w:rFonts w:cs="Times New Roman"/>
          <w:b/>
          <w:sz w:val="20"/>
          <w:szCs w:val="20"/>
        </w:rPr>
        <w:t>n</w:t>
      </w:r>
      <w:r w:rsidRPr="006C3826">
        <w:rPr>
          <w:rFonts w:cs="Times New Roman"/>
          <w:b/>
          <w:sz w:val="20"/>
          <w:szCs w:val="20"/>
        </w:rPr>
        <w:t xml:space="preserve"> </w:t>
      </w:r>
      <w:r w:rsidRPr="006C3826">
        <w:rPr>
          <w:rFonts w:cs="Times New Roman"/>
          <w:sz w:val="20"/>
          <w:szCs w:val="20"/>
        </w:rPr>
        <w:t xml:space="preserve">= [(dépense remboursée PHEV IPP issue des prescriptions de l’établissement en </w:t>
      </w:r>
      <w:r w:rsidR="00377F1A" w:rsidRPr="006C3826">
        <w:rPr>
          <w:rFonts w:cs="Times New Roman"/>
          <w:sz w:val="20"/>
          <w:szCs w:val="20"/>
        </w:rPr>
        <w:t>année n</w:t>
      </w:r>
      <w:r w:rsidRPr="006C3826">
        <w:rPr>
          <w:rFonts w:cs="Times New Roman"/>
          <w:sz w:val="20"/>
          <w:szCs w:val="20"/>
        </w:rPr>
        <w:t xml:space="preserve">) - (dépense remboursée PHEV IPP issue des prescriptions </w:t>
      </w:r>
      <w:r w:rsidR="00A767DD" w:rsidRPr="006C3826">
        <w:rPr>
          <w:rFonts w:cs="Times New Roman"/>
          <w:sz w:val="20"/>
          <w:szCs w:val="20"/>
        </w:rPr>
        <w:t xml:space="preserve">de l’établissement en </w:t>
      </w:r>
      <w:r w:rsidR="00377F1A" w:rsidRPr="006C3826">
        <w:rPr>
          <w:rFonts w:cs="Times New Roman"/>
          <w:sz w:val="20"/>
          <w:szCs w:val="20"/>
        </w:rPr>
        <w:t>année n-1</w:t>
      </w:r>
      <w:proofErr w:type="gramStart"/>
      <w:r w:rsidR="00A767DD" w:rsidRPr="006C3826">
        <w:rPr>
          <w:rFonts w:cs="Times New Roman"/>
          <w:sz w:val="20"/>
          <w:szCs w:val="20"/>
        </w:rPr>
        <w:t>)]*</w:t>
      </w:r>
      <w:proofErr w:type="gramEnd"/>
      <w:r w:rsidR="00A767DD" w:rsidRPr="006C3826">
        <w:rPr>
          <w:rFonts w:cs="Times New Roman"/>
          <w:b/>
          <w:sz w:val="20"/>
          <w:szCs w:val="20"/>
        </w:rPr>
        <w:t>0,</w:t>
      </w:r>
      <w:r w:rsidR="00377F1A" w:rsidRPr="006C3826">
        <w:rPr>
          <w:rFonts w:cs="Times New Roman"/>
          <w:b/>
          <w:sz w:val="20"/>
          <w:szCs w:val="20"/>
        </w:rPr>
        <w:t>2</w:t>
      </w:r>
    </w:p>
    <w:p w14:paraId="6E487C82" w14:textId="77777777" w:rsidR="00377F1A" w:rsidRPr="006C3826" w:rsidRDefault="00377F1A" w:rsidP="00075D23">
      <w:pPr>
        <w:pStyle w:val="Paragraphedeliste"/>
        <w:numPr>
          <w:ilvl w:val="0"/>
          <w:numId w:val="4"/>
        </w:numPr>
        <w:rPr>
          <w:rFonts w:cs="Times New Roman"/>
          <w:b/>
          <w:sz w:val="20"/>
          <w:szCs w:val="20"/>
        </w:rPr>
      </w:pPr>
      <w:r w:rsidRPr="006C3826">
        <w:rPr>
          <w:rFonts w:cs="Times New Roman"/>
          <w:b/>
          <w:sz w:val="20"/>
          <w:szCs w:val="20"/>
        </w:rPr>
        <w:t>Exemple de rémunération d’un établissement hospitalier</w:t>
      </w:r>
    </w:p>
    <w:p w14:paraId="6DDD7358" w14:textId="515386F6" w:rsidR="00377F1A" w:rsidRPr="006C3826" w:rsidRDefault="00377F1A" w:rsidP="00377F1A">
      <w:pPr>
        <w:jc w:val="both"/>
        <w:rPr>
          <w:rFonts w:cs="Times New Roman"/>
          <w:sz w:val="20"/>
          <w:szCs w:val="20"/>
        </w:rPr>
      </w:pPr>
      <w:r w:rsidRPr="006C3826">
        <w:rPr>
          <w:rFonts w:cs="Times New Roman"/>
          <w:sz w:val="20"/>
          <w:szCs w:val="20"/>
        </w:rPr>
        <w:t>En 2019, un établissement a prescrit des IPP qui ont entraîné une dépense en ville de 3 491 305 €. En 2020, ce même établissement a diminué la dépense issue de ses prescriptions de ville d’IPP à 3 248</w:t>
      </w:r>
      <w:r w:rsidR="006E20E6" w:rsidRPr="006C3826">
        <w:rPr>
          <w:rFonts w:cs="Times New Roman"/>
          <w:sz w:val="20"/>
          <w:szCs w:val="20"/>
        </w:rPr>
        <w:t> 240 </w:t>
      </w:r>
      <w:r w:rsidRPr="006C3826">
        <w:rPr>
          <w:rFonts w:cs="Times New Roman"/>
          <w:sz w:val="20"/>
          <w:szCs w:val="20"/>
        </w:rPr>
        <w:t>€.</w:t>
      </w:r>
    </w:p>
    <w:p w14:paraId="639EFB5D" w14:textId="43573E7B" w:rsidR="00377F1A" w:rsidRPr="006C3826" w:rsidRDefault="00377F1A" w:rsidP="00377F1A">
      <w:pPr>
        <w:jc w:val="both"/>
        <w:rPr>
          <w:rFonts w:cs="Times New Roman"/>
          <w:sz w:val="20"/>
          <w:szCs w:val="20"/>
        </w:rPr>
      </w:pPr>
      <w:r w:rsidRPr="006C3826">
        <w:rPr>
          <w:rFonts w:cs="Times New Roman"/>
          <w:sz w:val="20"/>
          <w:szCs w:val="20"/>
        </w:rPr>
        <w:t>Il sera donc reversé à l’établissement une incitation de 48</w:t>
      </w:r>
      <w:r w:rsidR="00F030ED" w:rsidRPr="006C3826">
        <w:rPr>
          <w:rFonts w:cs="Times New Roman"/>
          <w:sz w:val="20"/>
          <w:szCs w:val="20"/>
        </w:rPr>
        <w:t> </w:t>
      </w:r>
      <w:r w:rsidRPr="006C3826">
        <w:rPr>
          <w:rFonts w:cs="Times New Roman"/>
          <w:sz w:val="20"/>
          <w:szCs w:val="20"/>
        </w:rPr>
        <w:t>613</w:t>
      </w:r>
      <w:r w:rsidR="00F030ED" w:rsidRPr="006C3826">
        <w:rPr>
          <w:rFonts w:cs="Times New Roman"/>
          <w:sz w:val="20"/>
          <w:szCs w:val="20"/>
        </w:rPr>
        <w:t> </w:t>
      </w:r>
      <w:r w:rsidRPr="006C3826">
        <w:rPr>
          <w:rFonts w:cs="Times New Roman"/>
          <w:sz w:val="20"/>
          <w:szCs w:val="20"/>
        </w:rPr>
        <w:t>€ sur une économie réalisée de 243</w:t>
      </w:r>
      <w:r w:rsidR="00F030ED" w:rsidRPr="006C3826">
        <w:rPr>
          <w:rFonts w:cs="Times New Roman"/>
          <w:sz w:val="20"/>
          <w:szCs w:val="20"/>
        </w:rPr>
        <w:t> </w:t>
      </w:r>
      <w:r w:rsidRPr="006C3826">
        <w:rPr>
          <w:rFonts w:cs="Times New Roman"/>
          <w:sz w:val="20"/>
          <w:szCs w:val="20"/>
        </w:rPr>
        <w:t>065</w:t>
      </w:r>
      <w:r w:rsidR="00F030ED" w:rsidRPr="006C3826">
        <w:rPr>
          <w:rFonts w:cs="Times New Roman"/>
          <w:sz w:val="20"/>
          <w:szCs w:val="20"/>
        </w:rPr>
        <w:t> </w:t>
      </w:r>
      <w:r w:rsidRPr="006C3826">
        <w:rPr>
          <w:rFonts w:cs="Times New Roman"/>
          <w:sz w:val="20"/>
          <w:szCs w:val="20"/>
        </w:rPr>
        <w:t>€ pour l’assurance maladie. Cette économie devra pour partie (au moins 50</w:t>
      </w:r>
      <w:r w:rsidR="00F030ED" w:rsidRPr="006C3826">
        <w:rPr>
          <w:rFonts w:cs="Times New Roman"/>
          <w:sz w:val="20"/>
          <w:szCs w:val="20"/>
        </w:rPr>
        <w:t> </w:t>
      </w:r>
      <w:r w:rsidRPr="006C3826">
        <w:rPr>
          <w:rFonts w:cs="Times New Roman"/>
          <w:sz w:val="20"/>
          <w:szCs w:val="20"/>
        </w:rPr>
        <w:t>%) être reversée aux services ayant contribué à l’amélioration de la dépense.</w:t>
      </w:r>
    </w:p>
    <w:p w14:paraId="651E1D7D" w14:textId="77777777" w:rsidR="00377F1A" w:rsidRPr="006C3826" w:rsidRDefault="00377F1A" w:rsidP="00075D23">
      <w:pPr>
        <w:jc w:val="both"/>
        <w:rPr>
          <w:rFonts w:cs="Times New Roman"/>
          <w:sz w:val="20"/>
          <w:szCs w:val="20"/>
        </w:rPr>
      </w:pPr>
      <w:r w:rsidRPr="006C3826">
        <w:rPr>
          <w:rFonts w:cs="Times New Roman"/>
          <w:sz w:val="20"/>
          <w:szCs w:val="20"/>
        </w:rPr>
        <w:t>Pour le suivi de cet indicateur, l’établissement recevra une ventilation des dépenses selon la spécialité médicale de ces prescripteurs au titre de l’année 2019, ainsi qu’une à deux extractions au cours de l’année 2020 pour permettre un suivi des dépenses.</w:t>
      </w:r>
    </w:p>
    <w:p w14:paraId="263BB741" w14:textId="4FCFAB92" w:rsidR="005B2064" w:rsidRPr="005B2064" w:rsidRDefault="00A767DD" w:rsidP="005B2064">
      <w:pPr>
        <w:pStyle w:val="Paragraphedeliste"/>
        <w:numPr>
          <w:ilvl w:val="0"/>
          <w:numId w:val="2"/>
        </w:numPr>
        <w:jc w:val="both"/>
        <w:rPr>
          <w:rFonts w:cs="Times New Roman"/>
          <w:b/>
          <w:sz w:val="20"/>
          <w:szCs w:val="20"/>
        </w:rPr>
      </w:pPr>
      <w:r w:rsidRPr="006C3826">
        <w:rPr>
          <w:rFonts w:cs="Times New Roman"/>
          <w:b/>
          <w:sz w:val="20"/>
          <w:szCs w:val="20"/>
        </w:rPr>
        <w:t xml:space="preserve">Construction de l’indicateur de bonne pratique </w:t>
      </w:r>
    </w:p>
    <w:p w14:paraId="6B659427" w14:textId="0A36A810" w:rsidR="007C476D" w:rsidRDefault="007C476D" w:rsidP="005B2064">
      <w:pPr>
        <w:spacing w:after="0"/>
        <w:jc w:val="both"/>
        <w:rPr>
          <w:rFonts w:cs="Times New Roman"/>
          <w:sz w:val="20"/>
          <w:szCs w:val="20"/>
        </w:rPr>
      </w:pPr>
      <w:r w:rsidRPr="007C476D">
        <w:rPr>
          <w:rFonts w:cs="Times New Roman"/>
          <w:sz w:val="20"/>
          <w:szCs w:val="20"/>
        </w:rPr>
        <w:t>Cet indicateur couplé à un intéressement sera également associé à d’autres indicateurs connexes de bonne pratique qui seront fournis aux établissement afin d’améliorer la compréhension de la problématique et de faciliter la mise en œuvre d’actions de pertinence sur le terrain. Ces indicateurs connexes resteront indicatifs et ne contribueront pas au calcul des économies générées.</w:t>
      </w:r>
    </w:p>
    <w:p w14:paraId="7C643173" w14:textId="26A6E32A" w:rsidR="005B2064" w:rsidRDefault="005B2064" w:rsidP="005B2064">
      <w:pPr>
        <w:spacing w:after="0"/>
        <w:jc w:val="both"/>
        <w:rPr>
          <w:rFonts w:cs="Times New Roman"/>
          <w:sz w:val="20"/>
          <w:szCs w:val="20"/>
        </w:rPr>
      </w:pPr>
      <w:r w:rsidRPr="006C3826">
        <w:rPr>
          <w:rFonts w:cs="Times New Roman"/>
          <w:sz w:val="20"/>
          <w:szCs w:val="20"/>
        </w:rPr>
        <w:t xml:space="preserve">Concernant les traitements concomitants AINS+IPP : une étude observationnelle montre que 80% des prescriptions d’IPP n’étaient pas justifiées, le patient ne présentant pas de risque de développer des lésions gastroduodénales. </w:t>
      </w:r>
    </w:p>
    <w:p w14:paraId="18E8663D" w14:textId="77777777" w:rsidR="007C476D" w:rsidRPr="006C3826" w:rsidRDefault="007C476D" w:rsidP="005B2064">
      <w:pPr>
        <w:spacing w:after="0"/>
        <w:jc w:val="both"/>
        <w:rPr>
          <w:rFonts w:cs="Times New Roman"/>
          <w:sz w:val="20"/>
          <w:szCs w:val="20"/>
        </w:rPr>
      </w:pPr>
    </w:p>
    <w:p w14:paraId="2AC9FF8A" w14:textId="77777777" w:rsidR="005B2064" w:rsidRPr="006C3826" w:rsidRDefault="005B2064" w:rsidP="005B2064">
      <w:pPr>
        <w:spacing w:after="0"/>
        <w:jc w:val="both"/>
        <w:rPr>
          <w:rFonts w:cs="Times New Roman"/>
          <w:sz w:val="20"/>
          <w:szCs w:val="20"/>
        </w:rPr>
      </w:pPr>
      <w:r w:rsidRPr="006C3826">
        <w:rPr>
          <w:rFonts w:cs="Times New Roman"/>
          <w:sz w:val="20"/>
          <w:szCs w:val="20"/>
        </w:rPr>
        <w:lastRenderedPageBreak/>
        <w:t xml:space="preserve">Un second indicateur ciblera donc spécifiquement l’utilisation hors AMM suivante : </w:t>
      </w:r>
      <w:r w:rsidRPr="006C3826">
        <w:rPr>
          <w:rFonts w:cs="Times New Roman"/>
          <w:i/>
          <w:sz w:val="20"/>
          <w:szCs w:val="20"/>
        </w:rPr>
        <w:t>« prescription d’IPP pour prévenir ou traiter des lésions gastroduodénales dues aux anti-inflammatoires non stéroïdiens (AINS) chez les patients sans risque (âge inférieur à 65 ans ou n’ayant pas d’antécédents d’ulcère gastroduodénal, ou n’étant pas traités par antiagrégant plaquettaire, anticoagulant, ou corticoïde) ».</w:t>
      </w:r>
    </w:p>
    <w:p w14:paraId="2ED23AFF" w14:textId="3B1F7479" w:rsidR="007C476D" w:rsidRDefault="005B2064" w:rsidP="005B2064">
      <w:pPr>
        <w:jc w:val="both"/>
        <w:rPr>
          <w:rFonts w:cs="Times New Roman"/>
          <w:sz w:val="20"/>
          <w:szCs w:val="20"/>
        </w:rPr>
      </w:pPr>
      <w:r>
        <w:rPr>
          <w:rFonts w:cs="Times New Roman"/>
          <w:sz w:val="20"/>
          <w:szCs w:val="20"/>
        </w:rPr>
        <w:t>La cible de cet</w:t>
      </w:r>
      <w:r w:rsidRPr="006C3826">
        <w:rPr>
          <w:rFonts w:cs="Times New Roman"/>
          <w:sz w:val="20"/>
          <w:szCs w:val="20"/>
        </w:rPr>
        <w:t xml:space="preserve"> indicateur sera son évolution décroissante, sans fixation de seuil cible. </w:t>
      </w:r>
    </w:p>
    <w:tbl>
      <w:tblPr>
        <w:tblStyle w:val="Grilledutableau"/>
        <w:tblW w:w="0" w:type="auto"/>
        <w:tblLook w:val="04A0" w:firstRow="1" w:lastRow="0" w:firstColumn="1" w:lastColumn="0" w:noHBand="0" w:noVBand="1"/>
      </w:tblPr>
      <w:tblGrid>
        <w:gridCol w:w="9062"/>
      </w:tblGrid>
      <w:tr w:rsidR="007C476D" w14:paraId="6F365ABD" w14:textId="77777777" w:rsidTr="007C476D">
        <w:tc>
          <w:tcPr>
            <w:tcW w:w="9212" w:type="dxa"/>
          </w:tcPr>
          <w:p w14:paraId="7CC6BC65" w14:textId="089794BE" w:rsidR="007C476D" w:rsidRDefault="007C476D" w:rsidP="00683951">
            <w:pPr>
              <w:rPr>
                <w:rFonts w:cs="Times New Roman"/>
                <w:sz w:val="20"/>
                <w:szCs w:val="20"/>
              </w:rPr>
            </w:pPr>
            <w:r w:rsidRPr="006C3826">
              <w:rPr>
                <w:rFonts w:cs="Times New Roman"/>
                <w:sz w:val="20"/>
                <w:szCs w:val="20"/>
              </w:rPr>
              <w:t xml:space="preserve">Indicateur BP [année n] = [Volume IPP prescrits concomitamment à des AINS pour des adultes âgés de moins de 65 an en année n] - [Volume IPP prescrits concomitamment à des AINS pour des adultes âgés de moins de 65 an en année n] </w:t>
            </w:r>
            <w:r w:rsidRPr="006C3826">
              <w:rPr>
                <w:rFonts w:cs="Times New Roman"/>
                <w:b/>
                <w:sz w:val="20"/>
                <w:szCs w:val="20"/>
              </w:rPr>
              <w:t>&lt; 0</w:t>
            </w:r>
            <w:r w:rsidRPr="006C3826">
              <w:rPr>
                <w:rFonts w:cs="Times New Roman"/>
                <w:sz w:val="20"/>
                <w:szCs w:val="20"/>
              </w:rPr>
              <w:t xml:space="preserve">. </w:t>
            </w:r>
          </w:p>
        </w:tc>
      </w:tr>
    </w:tbl>
    <w:p w14:paraId="7E437172" w14:textId="77777777" w:rsidR="005B2064" w:rsidRPr="005B2064" w:rsidRDefault="005B2064" w:rsidP="005B2064">
      <w:pPr>
        <w:ind w:left="360"/>
        <w:jc w:val="both"/>
        <w:rPr>
          <w:rFonts w:cs="Times New Roman"/>
          <w:b/>
          <w:sz w:val="20"/>
          <w:szCs w:val="20"/>
        </w:rPr>
      </w:pPr>
    </w:p>
    <w:p w14:paraId="28312AF3" w14:textId="770F41E5" w:rsidR="005B2064" w:rsidRPr="005B2064" w:rsidRDefault="005B2064" w:rsidP="005B2064">
      <w:pPr>
        <w:pStyle w:val="Paragraphedeliste"/>
        <w:numPr>
          <w:ilvl w:val="0"/>
          <w:numId w:val="2"/>
        </w:numPr>
        <w:jc w:val="both"/>
        <w:rPr>
          <w:rFonts w:cs="Times New Roman"/>
          <w:b/>
          <w:sz w:val="20"/>
          <w:szCs w:val="20"/>
        </w:rPr>
      </w:pPr>
      <w:r>
        <w:rPr>
          <w:rFonts w:cs="Times New Roman"/>
          <w:b/>
          <w:sz w:val="20"/>
          <w:szCs w:val="20"/>
        </w:rPr>
        <w:t>Ciblage des établissements</w:t>
      </w:r>
    </w:p>
    <w:p w14:paraId="3DF9372D" w14:textId="2D4CEAFF" w:rsidR="00826F84" w:rsidRDefault="00B903ED" w:rsidP="005B2064">
      <w:pPr>
        <w:spacing w:after="0"/>
        <w:jc w:val="both"/>
        <w:rPr>
          <w:rFonts w:cs="Times New Roman"/>
          <w:sz w:val="20"/>
          <w:szCs w:val="20"/>
        </w:rPr>
      </w:pPr>
      <w:r>
        <w:rPr>
          <w:rFonts w:cs="Times New Roman"/>
          <w:sz w:val="20"/>
          <w:szCs w:val="20"/>
        </w:rPr>
        <w:t xml:space="preserve">Le ciblage des établissements est effectué en fonction du niveau de prescription des IPP. Ainsi, le seuil de prescription de 8500 boites par établissement a été retenu afin de viser prioritairement les plus gros prescripteurs. </w:t>
      </w:r>
    </w:p>
    <w:p w14:paraId="224F81D4" w14:textId="7AECAD7B" w:rsidR="00B903ED" w:rsidRDefault="00B903ED" w:rsidP="005B2064">
      <w:pPr>
        <w:spacing w:after="0"/>
        <w:jc w:val="both"/>
        <w:rPr>
          <w:rFonts w:cs="Times New Roman"/>
          <w:sz w:val="20"/>
          <w:szCs w:val="20"/>
        </w:rPr>
      </w:pPr>
    </w:p>
    <w:p w14:paraId="64C84F27" w14:textId="378BDE48" w:rsidR="00B903ED" w:rsidRPr="006C3826" w:rsidRDefault="00B903ED" w:rsidP="005B2064">
      <w:pPr>
        <w:spacing w:after="0"/>
        <w:jc w:val="both"/>
        <w:rPr>
          <w:rFonts w:cs="Times New Roman"/>
          <w:sz w:val="20"/>
          <w:szCs w:val="20"/>
        </w:rPr>
      </w:pPr>
      <w:r>
        <w:rPr>
          <w:rFonts w:cs="Times New Roman"/>
          <w:sz w:val="20"/>
          <w:szCs w:val="20"/>
        </w:rPr>
        <w:t>Compte tenu de ces éléments, le ciblage pourra porter sur 180 établissements représentant 27 millions d’euros de dépenses liées aux IPP en 201</w:t>
      </w:r>
      <w:r w:rsidR="00280D27">
        <w:rPr>
          <w:rFonts w:cs="Times New Roman"/>
          <w:sz w:val="20"/>
          <w:szCs w:val="20"/>
        </w:rPr>
        <w:t>8.</w:t>
      </w:r>
    </w:p>
    <w:sectPr w:rsidR="00B903ED" w:rsidRPr="006C3826" w:rsidSect="0052172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1E16" w14:textId="77777777" w:rsidR="00AE3811" w:rsidRDefault="00AE3811" w:rsidP="00464E97">
      <w:pPr>
        <w:spacing w:after="0" w:line="240" w:lineRule="auto"/>
      </w:pPr>
      <w:r>
        <w:separator/>
      </w:r>
    </w:p>
  </w:endnote>
  <w:endnote w:type="continuationSeparator" w:id="0">
    <w:p w14:paraId="7A89E271" w14:textId="77777777" w:rsidR="00AE3811" w:rsidRDefault="00AE3811" w:rsidP="0046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634B" w14:textId="77777777" w:rsidR="0052172E" w:rsidRDefault="005217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E24E" w14:textId="0D697274" w:rsidR="003B3324" w:rsidRPr="006C3826" w:rsidRDefault="006C3826">
    <w:pPr>
      <w:pStyle w:val="Pieddepage"/>
      <w:rPr>
        <w:sz w:val="20"/>
      </w:rPr>
    </w:pPr>
    <w:r>
      <w:tab/>
    </w:r>
    <w:r w:rsidR="003B3324">
      <w:rPr>
        <w:sz w:val="20"/>
      </w:rPr>
      <w:t>Janvier 2020</w:t>
    </w:r>
  </w:p>
  <w:p w14:paraId="59418A49" w14:textId="77777777" w:rsidR="006C3826" w:rsidRDefault="006C38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7927" w14:textId="77777777" w:rsidR="0052172E" w:rsidRDefault="005217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002F" w14:textId="77777777" w:rsidR="00AE3811" w:rsidRDefault="00AE3811" w:rsidP="00464E97">
      <w:pPr>
        <w:spacing w:after="0" w:line="240" w:lineRule="auto"/>
      </w:pPr>
      <w:r>
        <w:separator/>
      </w:r>
    </w:p>
  </w:footnote>
  <w:footnote w:type="continuationSeparator" w:id="0">
    <w:p w14:paraId="12D27A90" w14:textId="77777777" w:rsidR="00AE3811" w:rsidRDefault="00AE3811" w:rsidP="00464E97">
      <w:pPr>
        <w:spacing w:after="0" w:line="240" w:lineRule="auto"/>
      </w:pPr>
      <w:r>
        <w:continuationSeparator/>
      </w:r>
    </w:p>
  </w:footnote>
  <w:footnote w:id="1">
    <w:p w14:paraId="15964A6A" w14:textId="77777777" w:rsidR="00464E97" w:rsidRDefault="00464E97">
      <w:pPr>
        <w:pStyle w:val="Notedebasdepage"/>
      </w:pPr>
      <w:r>
        <w:rPr>
          <w:rStyle w:val="Appelnotedebasdep"/>
        </w:rPr>
        <w:footnoteRef/>
      </w:r>
      <w:r>
        <w:t xml:space="preserve"> Traitement du reflux </w:t>
      </w:r>
      <w:proofErr w:type="spellStart"/>
      <w:r>
        <w:t>gastro-oesophagien</w:t>
      </w:r>
      <w:proofErr w:type="spellEnd"/>
      <w:r>
        <w:t xml:space="preserve"> (RGO) et de l’</w:t>
      </w:r>
      <w:proofErr w:type="spellStart"/>
      <w:r>
        <w:t>oesophagite</w:t>
      </w:r>
      <w:proofErr w:type="spellEnd"/>
      <w:r>
        <w:t xml:space="preserve"> par RGO</w:t>
      </w:r>
    </w:p>
    <w:p w14:paraId="41B182A0" w14:textId="77777777" w:rsidR="00464E97" w:rsidRDefault="00464E97">
      <w:pPr>
        <w:pStyle w:val="Notedebasdepage"/>
      </w:pPr>
      <w:r>
        <w:t xml:space="preserve">  Prévention et traitement des lésions gastroduodénales dues aux anti-inflammatoires non stéroïdiens chez les     patients à risque (âge supérieur à 65 ans ou ayant des antécédents d’ulcère gastroduodénal, ou traités par antiagrégant plaquettaire, anticoagulant, ou corticoïde)</w:t>
      </w:r>
    </w:p>
    <w:p w14:paraId="51ECFDDB" w14:textId="77777777" w:rsidR="00464E97" w:rsidRDefault="00464E97">
      <w:pPr>
        <w:pStyle w:val="Notedebasdepage"/>
      </w:pPr>
      <w:r>
        <w:t xml:space="preserve">  Eradication d’Helicobacter </w:t>
      </w:r>
      <w:proofErr w:type="spellStart"/>
      <w:r>
        <w:t>pylori</w:t>
      </w:r>
      <w:proofErr w:type="spellEnd"/>
    </w:p>
    <w:p w14:paraId="0BD38A36" w14:textId="77777777" w:rsidR="00464E97" w:rsidRDefault="00464E97">
      <w:pPr>
        <w:pStyle w:val="Notedebasdepage"/>
      </w:pPr>
      <w:r>
        <w:t xml:space="preserve">  Traitement des ulcères gastroduodénaux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EAD8" w14:textId="77777777" w:rsidR="0052172E" w:rsidRDefault="005217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5788" w14:textId="4DE3280F" w:rsidR="006C3826" w:rsidRDefault="00764E4A">
    <w:pPr>
      <w:pStyle w:val="En-tte"/>
    </w:pPr>
    <w:r>
      <w:tab/>
    </w:r>
  </w:p>
  <w:p w14:paraId="0F360C78" w14:textId="77777777" w:rsidR="006C3826" w:rsidRDefault="006C38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849E" w14:textId="2ACC02E1" w:rsidR="0052172E" w:rsidRDefault="0052172E">
    <w:pPr>
      <w:pStyle w:val="En-tte"/>
    </w:pPr>
    <w:r w:rsidRPr="006C3826">
      <w:rPr>
        <w:noProof/>
        <w:lang w:eastAsia="fr-FR"/>
      </w:rPr>
      <w:drawing>
        <wp:inline distT="0" distB="0" distL="0" distR="0" wp14:anchorId="02CFFC01" wp14:editId="00035549">
          <wp:extent cx="770400" cy="770400"/>
          <wp:effectExtent l="0" t="0" r="0" b="0"/>
          <wp:docPr id="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770400"/>
                  </a:xfrm>
                  <a:prstGeom prst="rect">
                    <a:avLst/>
                  </a:prstGeom>
                </pic:spPr>
              </pic:pic>
            </a:graphicData>
          </a:graphic>
        </wp:inline>
      </w:drawing>
    </w:r>
    <w:r w:rsidRPr="0052172E">
      <w:t xml:space="preserve"> </w:t>
    </w:r>
    <w:r>
      <w:tab/>
    </w:r>
    <w:bookmarkStart w:id="0" w:name="_GoBack"/>
    <w:bookmarkEnd w:id="0"/>
    <w:r>
      <w:t>ANNEXE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3DA"/>
    <w:multiLevelType w:val="hybridMultilevel"/>
    <w:tmpl w:val="359E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92646"/>
    <w:multiLevelType w:val="hybridMultilevel"/>
    <w:tmpl w:val="BABC6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4B4F65"/>
    <w:multiLevelType w:val="hybridMultilevel"/>
    <w:tmpl w:val="41EC8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9D28EE"/>
    <w:multiLevelType w:val="hybridMultilevel"/>
    <w:tmpl w:val="24DA27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D5360C"/>
    <w:multiLevelType w:val="hybridMultilevel"/>
    <w:tmpl w:val="878C64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3A"/>
    <w:rsid w:val="00001831"/>
    <w:rsid w:val="00075D23"/>
    <w:rsid w:val="00080FD8"/>
    <w:rsid w:val="001310F6"/>
    <w:rsid w:val="0013688C"/>
    <w:rsid w:val="00225148"/>
    <w:rsid w:val="00280D27"/>
    <w:rsid w:val="002B5312"/>
    <w:rsid w:val="00361F7F"/>
    <w:rsid w:val="00377F1A"/>
    <w:rsid w:val="003B3324"/>
    <w:rsid w:val="00464E97"/>
    <w:rsid w:val="00475017"/>
    <w:rsid w:val="004A10F4"/>
    <w:rsid w:val="004B55B3"/>
    <w:rsid w:val="0052172E"/>
    <w:rsid w:val="00521F8F"/>
    <w:rsid w:val="005249BB"/>
    <w:rsid w:val="00536FEF"/>
    <w:rsid w:val="005870AB"/>
    <w:rsid w:val="005917C4"/>
    <w:rsid w:val="005B2064"/>
    <w:rsid w:val="00625D02"/>
    <w:rsid w:val="0064576A"/>
    <w:rsid w:val="00673B99"/>
    <w:rsid w:val="00683951"/>
    <w:rsid w:val="0068643B"/>
    <w:rsid w:val="006C3826"/>
    <w:rsid w:val="006E0573"/>
    <w:rsid w:val="006E20E6"/>
    <w:rsid w:val="00704744"/>
    <w:rsid w:val="0076051B"/>
    <w:rsid w:val="00764E4A"/>
    <w:rsid w:val="007B3FF3"/>
    <w:rsid w:val="007C476D"/>
    <w:rsid w:val="007D3AD8"/>
    <w:rsid w:val="007D559C"/>
    <w:rsid w:val="00826F84"/>
    <w:rsid w:val="008538A2"/>
    <w:rsid w:val="008C559F"/>
    <w:rsid w:val="009328AF"/>
    <w:rsid w:val="00965373"/>
    <w:rsid w:val="00990633"/>
    <w:rsid w:val="00A767DD"/>
    <w:rsid w:val="00AB18A5"/>
    <w:rsid w:val="00AE3811"/>
    <w:rsid w:val="00B156C9"/>
    <w:rsid w:val="00B46E4E"/>
    <w:rsid w:val="00B903ED"/>
    <w:rsid w:val="00BB7527"/>
    <w:rsid w:val="00BF447B"/>
    <w:rsid w:val="00C12481"/>
    <w:rsid w:val="00C53E66"/>
    <w:rsid w:val="00C7244F"/>
    <w:rsid w:val="00C87922"/>
    <w:rsid w:val="00C87B39"/>
    <w:rsid w:val="00DD4B67"/>
    <w:rsid w:val="00E36EF6"/>
    <w:rsid w:val="00E61DC6"/>
    <w:rsid w:val="00E662B6"/>
    <w:rsid w:val="00E73210"/>
    <w:rsid w:val="00EF5994"/>
    <w:rsid w:val="00F030ED"/>
    <w:rsid w:val="00F42A77"/>
    <w:rsid w:val="00F81647"/>
    <w:rsid w:val="00F91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1D255"/>
  <w15:docId w15:val="{3DB93568-99BD-4C92-8D53-5677CACE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4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481"/>
    <w:rPr>
      <w:rFonts w:ascii="Tahoma" w:hAnsi="Tahoma" w:cs="Tahoma"/>
      <w:sz w:val="16"/>
      <w:szCs w:val="16"/>
    </w:rPr>
  </w:style>
  <w:style w:type="paragraph" w:styleId="Notedebasdepage">
    <w:name w:val="footnote text"/>
    <w:basedOn w:val="Normal"/>
    <w:link w:val="NotedebasdepageCar"/>
    <w:uiPriority w:val="99"/>
    <w:semiHidden/>
    <w:unhideWhenUsed/>
    <w:rsid w:val="00464E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4E97"/>
    <w:rPr>
      <w:sz w:val="20"/>
      <w:szCs w:val="20"/>
    </w:rPr>
  </w:style>
  <w:style w:type="character" w:styleId="Appelnotedebasdep">
    <w:name w:val="footnote reference"/>
    <w:basedOn w:val="Policepardfaut"/>
    <w:uiPriority w:val="99"/>
    <w:semiHidden/>
    <w:unhideWhenUsed/>
    <w:rsid w:val="00464E97"/>
    <w:rPr>
      <w:vertAlign w:val="superscript"/>
    </w:rPr>
  </w:style>
  <w:style w:type="character" w:styleId="Marquedecommentaire">
    <w:name w:val="annotation reference"/>
    <w:basedOn w:val="Policepardfaut"/>
    <w:uiPriority w:val="99"/>
    <w:semiHidden/>
    <w:unhideWhenUsed/>
    <w:rsid w:val="00361F7F"/>
    <w:rPr>
      <w:sz w:val="16"/>
      <w:szCs w:val="16"/>
    </w:rPr>
  </w:style>
  <w:style w:type="paragraph" w:styleId="Commentaire">
    <w:name w:val="annotation text"/>
    <w:basedOn w:val="Normal"/>
    <w:link w:val="CommentaireCar"/>
    <w:uiPriority w:val="99"/>
    <w:semiHidden/>
    <w:unhideWhenUsed/>
    <w:rsid w:val="00361F7F"/>
    <w:pPr>
      <w:spacing w:line="240" w:lineRule="auto"/>
    </w:pPr>
    <w:rPr>
      <w:sz w:val="20"/>
      <w:szCs w:val="20"/>
    </w:rPr>
  </w:style>
  <w:style w:type="character" w:customStyle="1" w:styleId="CommentaireCar">
    <w:name w:val="Commentaire Car"/>
    <w:basedOn w:val="Policepardfaut"/>
    <w:link w:val="Commentaire"/>
    <w:uiPriority w:val="99"/>
    <w:semiHidden/>
    <w:rsid w:val="00361F7F"/>
    <w:rPr>
      <w:sz w:val="20"/>
      <w:szCs w:val="20"/>
    </w:rPr>
  </w:style>
  <w:style w:type="paragraph" w:styleId="Objetducommentaire">
    <w:name w:val="annotation subject"/>
    <w:basedOn w:val="Commentaire"/>
    <w:next w:val="Commentaire"/>
    <w:link w:val="ObjetducommentaireCar"/>
    <w:uiPriority w:val="99"/>
    <w:semiHidden/>
    <w:unhideWhenUsed/>
    <w:rsid w:val="00361F7F"/>
    <w:rPr>
      <w:b/>
      <w:bCs/>
    </w:rPr>
  </w:style>
  <w:style w:type="character" w:customStyle="1" w:styleId="ObjetducommentaireCar">
    <w:name w:val="Objet du commentaire Car"/>
    <w:basedOn w:val="CommentaireCar"/>
    <w:link w:val="Objetducommentaire"/>
    <w:uiPriority w:val="99"/>
    <w:semiHidden/>
    <w:rsid w:val="00361F7F"/>
    <w:rPr>
      <w:b/>
      <w:bCs/>
      <w:sz w:val="20"/>
      <w:szCs w:val="20"/>
    </w:rPr>
  </w:style>
  <w:style w:type="paragraph" w:styleId="Rvision">
    <w:name w:val="Revision"/>
    <w:hidden/>
    <w:uiPriority w:val="99"/>
    <w:semiHidden/>
    <w:rsid w:val="00361F7F"/>
    <w:pPr>
      <w:spacing w:after="0" w:line="240" w:lineRule="auto"/>
    </w:pPr>
  </w:style>
  <w:style w:type="paragraph" w:styleId="Paragraphedeliste">
    <w:name w:val="List Paragraph"/>
    <w:basedOn w:val="Normal"/>
    <w:uiPriority w:val="34"/>
    <w:qFormat/>
    <w:rsid w:val="00A767DD"/>
    <w:pPr>
      <w:ind w:left="720"/>
      <w:contextualSpacing/>
    </w:pPr>
  </w:style>
  <w:style w:type="paragraph" w:styleId="En-tte">
    <w:name w:val="header"/>
    <w:basedOn w:val="Normal"/>
    <w:link w:val="En-tteCar"/>
    <w:uiPriority w:val="99"/>
    <w:unhideWhenUsed/>
    <w:rsid w:val="006C3826"/>
    <w:pPr>
      <w:tabs>
        <w:tab w:val="center" w:pos="4536"/>
        <w:tab w:val="right" w:pos="9072"/>
      </w:tabs>
      <w:spacing w:after="0" w:line="240" w:lineRule="auto"/>
    </w:pPr>
  </w:style>
  <w:style w:type="character" w:customStyle="1" w:styleId="En-tteCar">
    <w:name w:val="En-tête Car"/>
    <w:basedOn w:val="Policepardfaut"/>
    <w:link w:val="En-tte"/>
    <w:uiPriority w:val="99"/>
    <w:rsid w:val="006C3826"/>
  </w:style>
  <w:style w:type="paragraph" w:styleId="Pieddepage">
    <w:name w:val="footer"/>
    <w:basedOn w:val="Normal"/>
    <w:link w:val="PieddepageCar"/>
    <w:uiPriority w:val="99"/>
    <w:unhideWhenUsed/>
    <w:rsid w:val="006C3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826"/>
  </w:style>
  <w:style w:type="table" w:styleId="Grilledutableau">
    <w:name w:val="Table Grid"/>
    <w:basedOn w:val="TableauNormal"/>
    <w:uiPriority w:val="59"/>
    <w:rsid w:val="007C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5D1D-E8BF-4FA6-B82F-AA0EAC2B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942</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SEBAN, Igor (DSS/SD1 FINANCEMENT DU SYSTEME DE SOINS/1C)</dc:creator>
  <cp:lastModifiedBy>VOROS, Magali (DSS/SD1 FINANCEMENT DU SYSTEME DE SOINS/MGRMC)</cp:lastModifiedBy>
  <cp:revision>6</cp:revision>
  <dcterms:created xsi:type="dcterms:W3CDTF">2020-01-13T16:37:00Z</dcterms:created>
  <dcterms:modified xsi:type="dcterms:W3CDTF">2020-01-27T16:58:00Z</dcterms:modified>
</cp:coreProperties>
</file>